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Pr>
      <w:r>
        <w:rPr>
          <w:rFonts w:ascii="Inter" w:hAnsi="Inter" w:eastAsia="Inter" w:cs="Inter"/>
          <w:b/>
          <w:i w:val="0"/>
          <w:color w:val="9C6C44"/>
          <w:sz w:val="28"/>
        </w:rPr>
        <w:t xml:space="preserve">●  </w:t>
      </w:r>
      <w:r>
        <w:rPr>
          <w:rFonts w:ascii="Inter" w:hAnsi="Inter" w:eastAsia="Inter" w:cs="Inter"/>
          <w:b/>
          <w:i w:val="0"/>
          <w:color w:val="6BBCE6"/>
          <w:sz w:val="28"/>
        </w:rPr>
        <w:t xml:space="preserve">●  </w:t>
      </w:r>
      <w:r>
        <w:rPr>
          <w:rFonts w:ascii="Inter" w:hAnsi="Inter" w:eastAsia="Inter" w:cs="Inter"/>
          <w:b/>
          <w:i w:val="0"/>
          <w:color w:val="2CA58D"/>
          <w:sz w:val="28"/>
        </w:rPr>
        <w:t xml:space="preserve">●  </w:t>
      </w:r>
      <w:r>
        <w:rPr>
          <w:rFonts w:ascii="Inter" w:hAnsi="Inter" w:eastAsia="Inter" w:cs="Inter"/>
          <w:b/>
          <w:i w:val="0"/>
          <w:color w:val="1B3A2F"/>
          <w:sz w:val="28"/>
        </w:rPr>
        <w:t>CITTOPIA</w:t>
      </w:r>
      <w:r>
        <w:rPr>
          <w:rFonts w:ascii="Inter" w:hAnsi="Inter" w:eastAsia="Inter" w:cs="Inter"/>
          <w:b w:val="0"/>
          <w:i w:val="0"/>
          <w:color w:val="4B5563"/>
          <w:sz w:val="20"/>
        </w:rPr>
        <w:t xml:space="preserve">  ·  cittopia.com</w:t>
      </w:r>
    </w:p>
    <w:p>
      <w:pPr>
        <w:spacing w:after="240"/>
        <w:jc w:val="center"/>
      </w:pPr>
      <w:r>
        <w:rPr>
          <w:rFonts w:ascii="Inter" w:hAnsi="Inter" w:eastAsia="Inter" w:cs="Inter"/>
          <w:b w:val="0"/>
          <w:i w:val="0"/>
          <w:color w:val="9CA3AF"/>
          <w:sz w:val="20"/>
        </w:rPr>
        <w:t>────────────────────────────────────────────────────────────</w:t>
      </w:r>
    </w:p>
    <w:p>
      <w:pPr>
        <w:spacing w:before="0" w:after="0"/>
      </w:pPr>
      <w:r>
        <w:rPr>
          <w:rFonts w:ascii="Inter" w:hAnsi="Inter" w:eastAsia="Inter" w:cs="Inter"/>
          <w:b/>
          <w:i w:val="0"/>
          <w:color w:val="2CA58D"/>
          <w:sz w:val="16"/>
        </w:rPr>
        <w:t>METHODOLOGY WHITE PAPER · V0.1 · DRAFT FOR ACADEMIC REVIEW</w:t>
      </w:r>
    </w:p>
    <w:p>
      <w:pPr>
        <w:spacing w:before="0" w:after="160"/>
      </w:pPr>
      <w:r>
        <w:rPr>
          <w:rFonts w:ascii="Inter" w:hAnsi="Inter" w:eastAsia="Inter" w:cs="Inter"/>
          <w:b/>
          <w:i w:val="0"/>
          <w:color w:val="1B3A2F"/>
          <w:sz w:val="44"/>
        </w:rPr>
        <w:t>The Pulse — composite urban wellbeing indicator</w:t>
      </w:r>
    </w:p>
    <w:p>
      <w:pPr>
        <w:spacing w:after="200"/>
      </w:pPr>
      <w:r>
        <w:rPr>
          <w:rFonts w:ascii="Inter" w:hAnsi="Inter" w:eastAsia="Inter" w:cs="Inter"/>
          <w:b w:val="0"/>
          <w:i/>
          <w:color w:val="4B5563"/>
          <w:sz w:val="22"/>
        </w:rPr>
        <w:t>Methodology document for a composite urban score (0–100) covering 9 SDG-aligned dimensions, computed for 30+ European cities and growing. v0.1 — explicitly published as a working draft for academic review and external statistical audit.</w:t>
      </w:r>
    </w:p>
    <w:tbl>
      <w:tblPr>
        <w:tblW w:type="auto" w:w="0"/>
        <w:jc w:val="center"/>
        <w:tblLook w:firstColumn="1" w:firstRow="1" w:lastColumn="0" w:lastRow="0" w:noHBand="0" w:noVBand="1" w:val="04A0"/>
      </w:tblPr>
      <w:tblGrid>
        <w:gridCol w:w="9746"/>
      </w:tblGrid>
      <w:tr>
        <w:tc>
          <w:tcPr>
            <w:tcW w:type="dxa" w:w="9746"/>
            <w:shd w:val="clear" w:color="auto" w:fill="1B3A2F"/>
          </w:tcPr>
          <w:p>
            <w:r/>
            <w:r>
              <w:rPr>
                <w:rFonts w:ascii="Inter" w:hAnsi="Inter" w:eastAsia="Inter" w:cs="Inter"/>
                <w:b/>
                <w:i w:val="0"/>
                <w:color w:val="FFC222"/>
                <w:sz w:val="18"/>
              </w:rPr>
              <w:t>STATUS — WHAT THIS DOCUMENT IS</w:t>
            </w:r>
          </w:p>
          <w:p>
            <w:r>
              <w:rPr>
                <w:rFonts w:ascii="Inter" w:hAnsi="Inter" w:eastAsia="Inter" w:cs="Inter"/>
                <w:b w:val="0"/>
                <w:i w:val="0"/>
                <w:color w:val="FFFFFF"/>
                <w:sz w:val="22"/>
              </w:rPr>
              <w:t>This is version 0.1. The methodology described below has been implemented and is in production at cittopia.com. It has NOT yet been independently audited, peer-reviewed, or formally validated. We are publishing this paper as the first step of two simultaneous processes: (a) requesting a Statistical Audit from JRC Ispra's COIN team, and (b) seeking academic methodological partners to deepen the underlying analysis. The Pulse, as currently implemented, is good enough to inform civic conversation and to demonstrate the platform's intent. It is not yet good enough to back consequential funding or policy decisions. That is what this validation cycle is for.</w:t>
            </w:r>
          </w:p>
        </w:tc>
      </w:tr>
    </w:tbl>
    <w:p>
      <w:pPr>
        <w:spacing w:after="120"/>
      </w:pPr>
      <w:r>
        <w:rPr>
          <w:rFonts w:ascii="Inter" w:hAnsi="Inter" w:eastAsia="Inter" w:cs="Inter"/>
          <w:b w:val="0"/>
          <w:i w:val="0"/>
          <w:color w:val="1F2937"/>
          <w:sz w:val="8"/>
        </w:rPr>
        <w:t xml:space="preserve"> </w:t>
      </w:r>
    </w:p>
    <w:p>
      <w:pPr>
        <w:spacing w:after="120"/>
      </w:pPr>
      <w:r>
        <w:rPr>
          <w:rFonts w:ascii="Inter" w:hAnsi="Inter" w:eastAsia="Inter" w:cs="Inter"/>
          <w:b w:val="0"/>
          <w:i w:val="0"/>
          <w:color w:val="4B5563"/>
          <w:sz w:val="20"/>
        </w:rPr>
        <w:t>Author: Tunç Meriç, Founder, Cittopia · tunc@cittopia.com · cittopia.com</w:t>
      </w:r>
    </w:p>
    <w:p>
      <w:pPr>
        <w:spacing w:after="120"/>
      </w:pPr>
      <w:r>
        <w:rPr>
          <w:rFonts w:ascii="Inter" w:hAnsi="Inter" w:eastAsia="Inter" w:cs="Inter"/>
          <w:b w:val="0"/>
          <w:i w:val="0"/>
          <w:color w:val="4B5563"/>
          <w:sz w:val="20"/>
        </w:rPr>
        <w:t>Date: 12 May 2026 · Document version: 0.1 (working draft)</w:t>
      </w:r>
    </w:p>
    <w:p>
      <w:pPr>
        <w:spacing w:after="240"/>
        <w:jc w:val="center"/>
      </w:pPr>
      <w:r>
        <w:rPr>
          <w:rFonts w:ascii="Inter" w:hAnsi="Inter" w:eastAsia="Inter" w:cs="Inter"/>
          <w:b w:val="0"/>
          <w:i w:val="0"/>
          <w:color w:val="9CA3AF"/>
          <w:sz w:val="20"/>
        </w:rPr>
        <w:t>────────────────────────────────────────────────────────────</w:t>
      </w:r>
    </w:p>
    <w:p>
      <w:pPr>
        <w:spacing w:before="360" w:after="120"/>
      </w:pPr>
      <w:r>
        <w:rPr>
          <w:rFonts w:ascii="Inter" w:hAnsi="Inter" w:eastAsia="Inter" w:cs="Inter"/>
          <w:b/>
          <w:i w:val="0"/>
          <w:color w:val="1B3A2F"/>
          <w:sz w:val="30"/>
        </w:rPr>
        <w:t>1. Purpose and scope</w:t>
      </w:r>
    </w:p>
    <w:p>
      <w:pPr>
        <w:spacing w:after="120"/>
      </w:pPr>
      <w:r>
        <w:rPr>
          <w:rFonts w:ascii="Inter" w:hAnsi="Inter" w:eastAsia="Inter" w:cs="Inter"/>
          <w:b w:val="0"/>
          <w:i w:val="0"/>
          <w:color w:val="1F2937"/>
          <w:sz w:val="22"/>
        </w:rPr>
        <w:t>The Pulse is a composite indicator designed to make European cities readable to citizens, comparable across borders, and accountable to a shared scale of wellbeing. It synthesises publicly available open data into a single 0–100 score per city, computed across nine SDG-aligned dimensions and updated as source data refreshes.</w:t>
      </w:r>
    </w:p>
    <w:p>
      <w:pPr>
        <w:spacing w:after="120"/>
      </w:pPr>
      <w:r>
        <w:rPr>
          <w:rFonts w:ascii="Inter" w:hAnsi="Inter" w:eastAsia="Inter" w:cs="Inter"/>
          <w:b w:val="0"/>
          <w:i w:val="0"/>
          <w:color w:val="1F2937"/>
          <w:sz w:val="22"/>
        </w:rPr>
        <w:t>It is published openly at cittopia.com — every citizen, journalist, mayor or researcher can see the score for any covered city without an account, and can drill into the dimension-level breakdown that produced it. The intent is civic literacy, not institutional ranking.</w:t>
      </w:r>
    </w:p>
    <w:p>
      <w:pPr>
        <w:spacing w:after="120"/>
      </w:pPr>
      <w:r>
        <w:rPr>
          <w:rFonts w:ascii="Inter" w:hAnsi="Inter" w:eastAsia="Inter" w:cs="Inter"/>
          <w:b w:val="0"/>
          <w:i/>
          <w:color w:val="4B5563"/>
          <w:sz w:val="22"/>
        </w:rPr>
        <w:t>This document describes the methodology as currently implemented, identifies the methodological gaps we are aware of, and sets out the validation pathway we propose.</w:t>
      </w:r>
    </w:p>
    <w:p>
      <w:pPr>
        <w:spacing w:before="360" w:after="120"/>
      </w:pPr>
      <w:r>
        <w:rPr>
          <w:rFonts w:ascii="Inter" w:hAnsi="Inter" w:eastAsia="Inter" w:cs="Inter"/>
          <w:b/>
          <w:i w:val="0"/>
          <w:color w:val="1B3A2F"/>
          <w:sz w:val="30"/>
        </w:rPr>
        <w:t>2. Why a composite indicator at all</w:t>
      </w:r>
    </w:p>
    <w:p>
      <w:pPr>
        <w:spacing w:after="120"/>
      </w:pPr>
      <w:r>
        <w:rPr>
          <w:rFonts w:ascii="Inter" w:hAnsi="Inter" w:eastAsia="Inter" w:cs="Inter"/>
          <w:b w:val="0"/>
          <w:i w:val="0"/>
          <w:color w:val="1F2937"/>
          <w:sz w:val="22"/>
        </w:rPr>
        <w:t>Composite indicators are politically contested instruments. They aggregate multidimensional phenomena into a single number, which inevitably loses information and can mask substantive trade-offs. Saltelli (2007), Saltelli and Funtowicz (2014), and others have articulated powerful critiques of indicator-driven governance. We take these critiques seriously.</w:t>
      </w:r>
    </w:p>
    <w:p>
      <w:pPr>
        <w:spacing w:after="120"/>
      </w:pPr>
      <w:r>
        <w:rPr>
          <w:rFonts w:ascii="Inter" w:hAnsi="Inter" w:eastAsia="Inter" w:cs="Inter"/>
          <w:b w:val="0"/>
          <w:i w:val="0"/>
          <w:color w:val="1F2937"/>
          <w:sz w:val="22"/>
        </w:rPr>
        <w:t>We have nonetheless chosen to build a composite for three reasons:</w:t>
      </w:r>
    </w:p>
    <w:p>
      <w:pPr>
        <w:pStyle w:val="ListBullet"/>
        <w:spacing w:after="60"/>
        <w:ind w:left="283"/>
      </w:pPr>
      <w:r>
        <w:rPr>
          <w:rFonts w:ascii="Inter" w:hAnsi="Inter" w:eastAsia="Inter" w:cs="Inter"/>
          <w:b/>
          <w:i w:val="0"/>
          <w:color w:val="1F2937"/>
          <w:sz w:val="22"/>
        </w:rPr>
        <w:t>Cognitive accessibility</w:t>
      </w:r>
      <w:r>
        <w:rPr>
          <w:rFonts w:ascii="Inter" w:hAnsi="Inter" w:eastAsia="Inter" w:cs="Inter"/>
          <w:b w:val="0"/>
          <w:i w:val="0"/>
          <w:color w:val="1F2937"/>
          <w:sz w:val="22"/>
        </w:rPr>
        <w:t xml:space="preserve"> — most citizens cannot interpret 350+ Eurostat Urban Audit indicators. A single 0–100 number offers an entry point that invites further drill-down.</w:t>
      </w:r>
    </w:p>
    <w:p>
      <w:pPr>
        <w:pStyle w:val="ListBullet"/>
        <w:spacing w:after="60"/>
        <w:ind w:left="283"/>
      </w:pPr>
      <w:r>
        <w:rPr>
          <w:rFonts w:ascii="Inter" w:hAnsi="Inter" w:eastAsia="Inter" w:cs="Inter"/>
          <w:b/>
          <w:i w:val="0"/>
          <w:color w:val="1F2937"/>
          <w:sz w:val="22"/>
        </w:rPr>
        <w:t>Cross-city comparability</w:t>
      </w:r>
      <w:r>
        <w:rPr>
          <w:rFonts w:ascii="Inter" w:hAnsi="Inter" w:eastAsia="Inter" w:cs="Inter"/>
          <w:b w:val="0"/>
          <w:i w:val="0"/>
          <w:color w:val="1F2937"/>
          <w:sz w:val="22"/>
        </w:rPr>
        <w:t xml:space="preserve"> — without aggregation, comparing Warsaw to Sofia to Lisbon requires expert mediation. The Pulse provides a first-order comparison anyone can read.</w:t>
      </w:r>
    </w:p>
    <w:p>
      <w:pPr>
        <w:pStyle w:val="ListBullet"/>
        <w:spacing w:after="60"/>
        <w:ind w:left="283"/>
      </w:pPr>
      <w:r>
        <w:rPr>
          <w:rFonts w:ascii="Inter" w:hAnsi="Inter" w:eastAsia="Inter" w:cs="Inter"/>
          <w:b/>
          <w:i w:val="0"/>
          <w:color w:val="1F2937"/>
          <w:sz w:val="22"/>
        </w:rPr>
        <w:t>Civic accountability surface</w:t>
      </w:r>
      <w:r>
        <w:rPr>
          <w:rFonts w:ascii="Inter" w:hAnsi="Inter" w:eastAsia="Inter" w:cs="Inter"/>
          <w:b w:val="0"/>
          <w:i w:val="0"/>
          <w:color w:val="1F2937"/>
          <w:sz w:val="22"/>
        </w:rPr>
        <w:t xml:space="preserve"> — a public score, computed transparently from public data, is itself an accountability mechanism. Cities that perform poorly cannot quietly bury the indicators that would show it.</w:t>
      </w:r>
    </w:p>
    <w:p>
      <w:pPr>
        <w:spacing w:after="120"/>
      </w:pPr>
      <w:r>
        <w:rPr>
          <w:rFonts w:ascii="Inter" w:hAnsi="Inter" w:eastAsia="Inter" w:cs="Inter"/>
          <w:b w:val="0"/>
          <w:i/>
          <w:color w:val="4B5563"/>
          <w:sz w:val="22"/>
        </w:rPr>
        <w:t>We accept the costs that come with aggregation, mitigate them where we can (transparent dimension-level breakdown, no hidden weights, public methodology), and treat the validation process as ongoing rather than completed.</w:t>
      </w:r>
    </w:p>
    <w:p>
      <w:pPr>
        <w:spacing w:before="360" w:after="120"/>
      </w:pPr>
      <w:r>
        <w:rPr>
          <w:rFonts w:ascii="Inter" w:hAnsi="Inter" w:eastAsia="Inter" w:cs="Inter"/>
          <w:b/>
          <w:i w:val="0"/>
          <w:color w:val="1B3A2F"/>
          <w:sz w:val="30"/>
        </w:rPr>
        <w:t>3. Theoretical framework — the nine dimensions</w:t>
      </w:r>
    </w:p>
    <w:p>
      <w:pPr>
        <w:spacing w:after="120"/>
      </w:pPr>
      <w:r>
        <w:rPr>
          <w:rFonts w:ascii="Inter" w:hAnsi="Inter" w:eastAsia="Inter" w:cs="Inter"/>
          <w:b w:val="0"/>
          <w:i w:val="0"/>
          <w:color w:val="1F2937"/>
          <w:sz w:val="22"/>
        </w:rPr>
        <w:t>The Pulse is structured around nine dimensions intended to span the major axes of urban wellbeing. The dimensions are SDG-aligned where possible (mapped to relevant SDG targets) but the underlying framework draws on the Stiglitz-Sen-Fitoussi report (2009), the OECD Better Life Index (2011), and the EU Urban Audit conceptual model (2003/2018).</w:t>
      </w:r>
    </w:p>
    <w:tbl>
      <w:tblPr>
        <w:tblW w:type="auto" w:w="0"/>
        <w:jc w:val="center"/>
        <w:tblLook w:firstColumn="1" w:firstRow="1" w:lastColumn="0" w:lastRow="0" w:noHBand="0" w:noVBand="1" w:val="04A0"/>
      </w:tblPr>
      <w:tblGrid>
        <w:gridCol w:w="2436"/>
        <w:gridCol w:w="2436"/>
        <w:gridCol w:w="2436"/>
        <w:gridCol w:w="2436"/>
      </w:tblGrid>
      <w:tr>
        <w:tc>
          <w:tcPr>
            <w:tcW w:type="dxa" w:w="2436"/>
            <w:shd w:val="clear" w:color="auto" w:fill="1B3A2F"/>
          </w:tcPr>
          <w:p>
            <w:r/>
            <w:r>
              <w:rPr>
                <w:rFonts w:ascii="Inter" w:hAnsi="Inter" w:eastAsia="Inter" w:cs="Inter"/>
                <w:b/>
                <w:i w:val="0"/>
                <w:color w:val="FFC222"/>
                <w:sz w:val="20"/>
              </w:rPr>
              <w:t>#</w:t>
            </w:r>
          </w:p>
        </w:tc>
        <w:tc>
          <w:tcPr>
            <w:tcW w:type="dxa" w:w="2436"/>
            <w:shd w:val="clear" w:color="auto" w:fill="1B3A2F"/>
          </w:tcPr>
          <w:p>
            <w:r/>
            <w:r>
              <w:rPr>
                <w:rFonts w:ascii="Inter" w:hAnsi="Inter" w:eastAsia="Inter" w:cs="Inter"/>
                <w:b/>
                <w:i w:val="0"/>
                <w:color w:val="FFC222"/>
                <w:sz w:val="20"/>
              </w:rPr>
              <w:t>Dimension</w:t>
            </w:r>
          </w:p>
        </w:tc>
        <w:tc>
          <w:tcPr>
            <w:tcW w:type="dxa" w:w="2436"/>
            <w:shd w:val="clear" w:color="auto" w:fill="1B3A2F"/>
          </w:tcPr>
          <w:p>
            <w:r/>
            <w:r>
              <w:rPr>
                <w:rFonts w:ascii="Inter" w:hAnsi="Inter" w:eastAsia="Inter" w:cs="Inter"/>
                <w:b/>
                <w:i w:val="0"/>
                <w:color w:val="FFC222"/>
                <w:sz w:val="20"/>
              </w:rPr>
              <w:t>Captures</w:t>
            </w:r>
          </w:p>
        </w:tc>
        <w:tc>
          <w:tcPr>
            <w:tcW w:type="dxa" w:w="2436"/>
            <w:shd w:val="clear" w:color="auto" w:fill="1B3A2F"/>
          </w:tcPr>
          <w:p>
            <w:r/>
            <w:r>
              <w:rPr>
                <w:rFonts w:ascii="Inter" w:hAnsi="Inter" w:eastAsia="Inter" w:cs="Inter"/>
                <w:b/>
                <w:i w:val="0"/>
                <w:color w:val="FFC222"/>
                <w:sz w:val="20"/>
              </w:rPr>
              <w:t>SDG mapping</w:t>
            </w:r>
          </w:p>
        </w:tc>
      </w:tr>
      <w:tr>
        <w:tc>
          <w:tcPr>
            <w:tcW w:type="dxa" w:w="2436"/>
            <w:shd w:val="clear" w:color="auto" w:fill="EFF8F5"/>
          </w:tcPr>
          <w:p>
            <w:r/>
            <w:r>
              <w:rPr>
                <w:rFonts w:ascii="Inter" w:hAnsi="Inter" w:eastAsia="Inter" w:cs="Inter"/>
                <w:b w:val="0"/>
                <w:i w:val="0"/>
                <w:color w:val="1F2937"/>
                <w:sz w:val="20"/>
              </w:rPr>
              <w:t>1</w:t>
            </w:r>
          </w:p>
        </w:tc>
        <w:tc>
          <w:tcPr>
            <w:tcW w:type="dxa" w:w="2436"/>
            <w:shd w:val="clear" w:color="auto" w:fill="EFF8F5"/>
          </w:tcPr>
          <w:p>
            <w:r/>
            <w:r>
              <w:rPr>
                <w:rFonts w:ascii="Inter" w:hAnsi="Inter" w:eastAsia="Inter" w:cs="Inter"/>
                <w:b w:val="0"/>
                <w:i w:val="0"/>
                <w:color w:val="1F2937"/>
                <w:sz w:val="20"/>
              </w:rPr>
              <w:t>Mobility &amp; Transit</w:t>
            </w:r>
          </w:p>
        </w:tc>
        <w:tc>
          <w:tcPr>
            <w:tcW w:type="dxa" w:w="2436"/>
            <w:shd w:val="clear" w:color="auto" w:fill="EFF8F5"/>
          </w:tcPr>
          <w:p>
            <w:r/>
            <w:r>
              <w:rPr>
                <w:rFonts w:ascii="Inter" w:hAnsi="Inter" w:eastAsia="Inter" w:cs="Inter"/>
                <w:b w:val="0"/>
                <w:i w:val="0"/>
                <w:color w:val="1F2937"/>
                <w:sz w:val="20"/>
              </w:rPr>
              <w:t>Public transit reach, modal share, congestion, active mobility infrastructure</w:t>
            </w:r>
          </w:p>
        </w:tc>
        <w:tc>
          <w:tcPr>
            <w:tcW w:type="dxa" w:w="2436"/>
            <w:shd w:val="clear" w:color="auto" w:fill="EFF8F5"/>
          </w:tcPr>
          <w:p>
            <w:r/>
            <w:r>
              <w:rPr>
                <w:rFonts w:ascii="Inter" w:hAnsi="Inter" w:eastAsia="Inter" w:cs="Inter"/>
                <w:b w:val="0"/>
                <w:i w:val="0"/>
                <w:color w:val="1F2937"/>
                <w:sz w:val="20"/>
              </w:rPr>
              <w:t>SDG 11.2</w:t>
            </w:r>
          </w:p>
        </w:tc>
      </w:tr>
      <w:tr>
        <w:tc>
          <w:tcPr>
            <w:tcW w:type="dxa" w:w="2436"/>
          </w:tcPr>
          <w:p>
            <w:r/>
            <w:r>
              <w:rPr>
                <w:rFonts w:ascii="Inter" w:hAnsi="Inter" w:eastAsia="Inter" w:cs="Inter"/>
                <w:b w:val="0"/>
                <w:i w:val="0"/>
                <w:color w:val="1F2937"/>
                <w:sz w:val="20"/>
              </w:rPr>
              <w:t>2</w:t>
            </w:r>
          </w:p>
        </w:tc>
        <w:tc>
          <w:tcPr>
            <w:tcW w:type="dxa" w:w="2436"/>
          </w:tcPr>
          <w:p>
            <w:r/>
            <w:r>
              <w:rPr>
                <w:rFonts w:ascii="Inter" w:hAnsi="Inter" w:eastAsia="Inter" w:cs="Inter"/>
                <w:b w:val="0"/>
                <w:i w:val="0"/>
                <w:color w:val="1F2937"/>
                <w:sz w:val="20"/>
              </w:rPr>
              <w:t>Environment &amp; Air</w:t>
            </w:r>
          </w:p>
        </w:tc>
        <w:tc>
          <w:tcPr>
            <w:tcW w:type="dxa" w:w="2436"/>
          </w:tcPr>
          <w:p>
            <w:r/>
            <w:r>
              <w:rPr>
                <w:rFonts w:ascii="Inter" w:hAnsi="Inter" w:eastAsia="Inter" w:cs="Inter"/>
                <w:b w:val="0"/>
                <w:i w:val="0"/>
                <w:color w:val="1F2937"/>
                <w:sz w:val="20"/>
              </w:rPr>
              <w:t>PM2.5, NO₂, green-space ratio, water quality</w:t>
            </w:r>
          </w:p>
        </w:tc>
        <w:tc>
          <w:tcPr>
            <w:tcW w:type="dxa" w:w="2436"/>
          </w:tcPr>
          <w:p>
            <w:r/>
            <w:r>
              <w:rPr>
                <w:rFonts w:ascii="Inter" w:hAnsi="Inter" w:eastAsia="Inter" w:cs="Inter"/>
                <w:b w:val="0"/>
                <w:i w:val="0"/>
                <w:color w:val="1F2937"/>
                <w:sz w:val="20"/>
              </w:rPr>
              <w:t>SDG 3.9, 11.6, 15</w:t>
            </w:r>
          </w:p>
        </w:tc>
      </w:tr>
      <w:tr>
        <w:tc>
          <w:tcPr>
            <w:tcW w:type="dxa" w:w="2436"/>
            <w:shd w:val="clear" w:color="auto" w:fill="EFF8F5"/>
          </w:tcPr>
          <w:p>
            <w:r/>
            <w:r>
              <w:rPr>
                <w:rFonts w:ascii="Inter" w:hAnsi="Inter" w:eastAsia="Inter" w:cs="Inter"/>
                <w:b w:val="0"/>
                <w:i w:val="0"/>
                <w:color w:val="1F2937"/>
                <w:sz w:val="20"/>
              </w:rPr>
              <w:t>3</w:t>
            </w:r>
          </w:p>
        </w:tc>
        <w:tc>
          <w:tcPr>
            <w:tcW w:type="dxa" w:w="2436"/>
            <w:shd w:val="clear" w:color="auto" w:fill="EFF8F5"/>
          </w:tcPr>
          <w:p>
            <w:r/>
            <w:r>
              <w:rPr>
                <w:rFonts w:ascii="Inter" w:hAnsi="Inter" w:eastAsia="Inter" w:cs="Inter"/>
                <w:b w:val="0"/>
                <w:i w:val="0"/>
                <w:color w:val="1F2937"/>
                <w:sz w:val="20"/>
              </w:rPr>
              <w:t>Health &amp; Wellbeing</w:t>
            </w:r>
          </w:p>
        </w:tc>
        <w:tc>
          <w:tcPr>
            <w:tcW w:type="dxa" w:w="2436"/>
            <w:shd w:val="clear" w:color="auto" w:fill="EFF8F5"/>
          </w:tcPr>
          <w:p>
            <w:r/>
            <w:r>
              <w:rPr>
                <w:rFonts w:ascii="Inter" w:hAnsi="Inter" w:eastAsia="Inter" w:cs="Inter"/>
                <w:b w:val="0"/>
                <w:i w:val="0"/>
                <w:color w:val="1F2937"/>
                <w:sz w:val="20"/>
              </w:rPr>
              <w:t>Life expectancy, infant mortality, healthcare access, mental health proxy</w:t>
            </w:r>
          </w:p>
        </w:tc>
        <w:tc>
          <w:tcPr>
            <w:tcW w:type="dxa" w:w="2436"/>
            <w:shd w:val="clear" w:color="auto" w:fill="EFF8F5"/>
          </w:tcPr>
          <w:p>
            <w:r/>
            <w:r>
              <w:rPr>
                <w:rFonts w:ascii="Inter" w:hAnsi="Inter" w:eastAsia="Inter" w:cs="Inter"/>
                <w:b w:val="0"/>
                <w:i w:val="0"/>
                <w:color w:val="1F2937"/>
                <w:sz w:val="20"/>
              </w:rPr>
              <w:t>SDG 3</w:t>
            </w:r>
          </w:p>
        </w:tc>
      </w:tr>
      <w:tr>
        <w:tc>
          <w:tcPr>
            <w:tcW w:type="dxa" w:w="2436"/>
          </w:tcPr>
          <w:p>
            <w:r/>
            <w:r>
              <w:rPr>
                <w:rFonts w:ascii="Inter" w:hAnsi="Inter" w:eastAsia="Inter" w:cs="Inter"/>
                <w:b w:val="0"/>
                <w:i w:val="0"/>
                <w:color w:val="1F2937"/>
                <w:sz w:val="20"/>
              </w:rPr>
              <w:t>4</w:t>
            </w:r>
          </w:p>
        </w:tc>
        <w:tc>
          <w:tcPr>
            <w:tcW w:type="dxa" w:w="2436"/>
          </w:tcPr>
          <w:p>
            <w:r/>
            <w:r>
              <w:rPr>
                <w:rFonts w:ascii="Inter" w:hAnsi="Inter" w:eastAsia="Inter" w:cs="Inter"/>
                <w:b w:val="0"/>
                <w:i w:val="0"/>
                <w:color w:val="1F2937"/>
                <w:sz w:val="20"/>
              </w:rPr>
              <w:t>Education &amp; Skills</w:t>
            </w:r>
          </w:p>
        </w:tc>
        <w:tc>
          <w:tcPr>
            <w:tcW w:type="dxa" w:w="2436"/>
          </w:tcPr>
          <w:p>
            <w:r/>
            <w:r>
              <w:rPr>
                <w:rFonts w:ascii="Inter" w:hAnsi="Inter" w:eastAsia="Inter" w:cs="Inter"/>
                <w:b w:val="0"/>
                <w:i w:val="0"/>
                <w:color w:val="1F2937"/>
                <w:sz w:val="20"/>
              </w:rPr>
              <w:t>Tertiary education %, NEET rate, library/educational facility density</w:t>
            </w:r>
          </w:p>
        </w:tc>
        <w:tc>
          <w:tcPr>
            <w:tcW w:type="dxa" w:w="2436"/>
          </w:tcPr>
          <w:p>
            <w:r/>
            <w:r>
              <w:rPr>
                <w:rFonts w:ascii="Inter" w:hAnsi="Inter" w:eastAsia="Inter" w:cs="Inter"/>
                <w:b w:val="0"/>
                <w:i w:val="0"/>
                <w:color w:val="1F2937"/>
                <w:sz w:val="20"/>
              </w:rPr>
              <w:t>SDG 4</w:t>
            </w:r>
          </w:p>
        </w:tc>
      </w:tr>
      <w:tr>
        <w:tc>
          <w:tcPr>
            <w:tcW w:type="dxa" w:w="2436"/>
            <w:shd w:val="clear" w:color="auto" w:fill="EFF8F5"/>
          </w:tcPr>
          <w:p>
            <w:r/>
            <w:r>
              <w:rPr>
                <w:rFonts w:ascii="Inter" w:hAnsi="Inter" w:eastAsia="Inter" w:cs="Inter"/>
                <w:b w:val="0"/>
                <w:i w:val="0"/>
                <w:color w:val="1F2937"/>
                <w:sz w:val="20"/>
              </w:rPr>
              <w:t>5</w:t>
            </w:r>
          </w:p>
        </w:tc>
        <w:tc>
          <w:tcPr>
            <w:tcW w:type="dxa" w:w="2436"/>
            <w:shd w:val="clear" w:color="auto" w:fill="EFF8F5"/>
          </w:tcPr>
          <w:p>
            <w:r/>
            <w:r>
              <w:rPr>
                <w:rFonts w:ascii="Inter" w:hAnsi="Inter" w:eastAsia="Inter" w:cs="Inter"/>
                <w:b w:val="0"/>
                <w:i w:val="0"/>
                <w:color w:val="1F2937"/>
                <w:sz w:val="20"/>
              </w:rPr>
              <w:t>Jobs &amp; Economy</w:t>
            </w:r>
          </w:p>
        </w:tc>
        <w:tc>
          <w:tcPr>
            <w:tcW w:type="dxa" w:w="2436"/>
            <w:shd w:val="clear" w:color="auto" w:fill="EFF8F5"/>
          </w:tcPr>
          <w:p>
            <w:r/>
            <w:r>
              <w:rPr>
                <w:rFonts w:ascii="Inter" w:hAnsi="Inter" w:eastAsia="Inter" w:cs="Inter"/>
                <w:b w:val="0"/>
                <w:i w:val="0"/>
                <w:color w:val="1F2937"/>
                <w:sz w:val="20"/>
              </w:rPr>
              <w:t>Employment rate, GDP/capita PPP, business density, sector diversity</w:t>
            </w:r>
          </w:p>
        </w:tc>
        <w:tc>
          <w:tcPr>
            <w:tcW w:type="dxa" w:w="2436"/>
            <w:shd w:val="clear" w:color="auto" w:fill="EFF8F5"/>
          </w:tcPr>
          <w:p>
            <w:r/>
            <w:r>
              <w:rPr>
                <w:rFonts w:ascii="Inter" w:hAnsi="Inter" w:eastAsia="Inter" w:cs="Inter"/>
                <w:b w:val="0"/>
                <w:i w:val="0"/>
                <w:color w:val="1F2937"/>
                <w:sz w:val="20"/>
              </w:rPr>
              <w:t>SDG 8</w:t>
            </w:r>
          </w:p>
        </w:tc>
      </w:tr>
      <w:tr>
        <w:tc>
          <w:tcPr>
            <w:tcW w:type="dxa" w:w="2436"/>
          </w:tcPr>
          <w:p>
            <w:r/>
            <w:r>
              <w:rPr>
                <w:rFonts w:ascii="Inter" w:hAnsi="Inter" w:eastAsia="Inter" w:cs="Inter"/>
                <w:b w:val="0"/>
                <w:i w:val="0"/>
                <w:color w:val="1F2937"/>
                <w:sz w:val="20"/>
              </w:rPr>
              <w:t>6</w:t>
            </w:r>
          </w:p>
        </w:tc>
        <w:tc>
          <w:tcPr>
            <w:tcW w:type="dxa" w:w="2436"/>
          </w:tcPr>
          <w:p>
            <w:r/>
            <w:r>
              <w:rPr>
                <w:rFonts w:ascii="Inter" w:hAnsi="Inter" w:eastAsia="Inter" w:cs="Inter"/>
                <w:b w:val="0"/>
                <w:i w:val="0"/>
                <w:color w:val="1F2937"/>
                <w:sz w:val="20"/>
              </w:rPr>
              <w:t>Housing &amp; Density</w:t>
            </w:r>
          </w:p>
        </w:tc>
        <w:tc>
          <w:tcPr>
            <w:tcW w:type="dxa" w:w="2436"/>
          </w:tcPr>
          <w:p>
            <w:r/>
            <w:r>
              <w:rPr>
                <w:rFonts w:ascii="Inter" w:hAnsi="Inter" w:eastAsia="Inter" w:cs="Inter"/>
                <w:b w:val="0"/>
                <w:i w:val="0"/>
                <w:color w:val="1F2937"/>
                <w:sz w:val="20"/>
              </w:rPr>
              <w:t>Housing cost as % of income, overcrowding, density, housing quality</w:t>
            </w:r>
          </w:p>
        </w:tc>
        <w:tc>
          <w:tcPr>
            <w:tcW w:type="dxa" w:w="2436"/>
          </w:tcPr>
          <w:p>
            <w:r/>
            <w:r>
              <w:rPr>
                <w:rFonts w:ascii="Inter" w:hAnsi="Inter" w:eastAsia="Inter" w:cs="Inter"/>
                <w:b w:val="0"/>
                <w:i w:val="0"/>
                <w:color w:val="1F2937"/>
                <w:sz w:val="20"/>
              </w:rPr>
              <w:t>SDG 11.1</w:t>
            </w:r>
          </w:p>
        </w:tc>
      </w:tr>
      <w:tr>
        <w:tc>
          <w:tcPr>
            <w:tcW w:type="dxa" w:w="2436"/>
            <w:shd w:val="clear" w:color="auto" w:fill="EFF8F5"/>
          </w:tcPr>
          <w:p>
            <w:r/>
            <w:r>
              <w:rPr>
                <w:rFonts w:ascii="Inter" w:hAnsi="Inter" w:eastAsia="Inter" w:cs="Inter"/>
                <w:b w:val="0"/>
                <w:i w:val="0"/>
                <w:color w:val="1F2937"/>
                <w:sz w:val="20"/>
              </w:rPr>
              <w:t>7</w:t>
            </w:r>
          </w:p>
        </w:tc>
        <w:tc>
          <w:tcPr>
            <w:tcW w:type="dxa" w:w="2436"/>
            <w:shd w:val="clear" w:color="auto" w:fill="EFF8F5"/>
          </w:tcPr>
          <w:p>
            <w:r/>
            <w:r>
              <w:rPr>
                <w:rFonts w:ascii="Inter" w:hAnsi="Inter" w:eastAsia="Inter" w:cs="Inter"/>
                <w:b w:val="0"/>
                <w:i w:val="0"/>
                <w:color w:val="1F2937"/>
                <w:sz w:val="20"/>
              </w:rPr>
              <w:t>Inclusion &amp; Equity</w:t>
            </w:r>
          </w:p>
        </w:tc>
        <w:tc>
          <w:tcPr>
            <w:tcW w:type="dxa" w:w="2436"/>
            <w:shd w:val="clear" w:color="auto" w:fill="EFF8F5"/>
          </w:tcPr>
          <w:p>
            <w:r/>
            <w:r>
              <w:rPr>
                <w:rFonts w:ascii="Inter" w:hAnsi="Inter" w:eastAsia="Inter" w:cs="Inter"/>
                <w:b w:val="0"/>
                <w:i w:val="0"/>
                <w:color w:val="1F2937"/>
                <w:sz w:val="20"/>
              </w:rPr>
              <w:t>Gender pay gap, foreign-born integration, Gini, accessibility</w:t>
            </w:r>
          </w:p>
        </w:tc>
        <w:tc>
          <w:tcPr>
            <w:tcW w:type="dxa" w:w="2436"/>
            <w:shd w:val="clear" w:color="auto" w:fill="EFF8F5"/>
          </w:tcPr>
          <w:p>
            <w:r/>
            <w:r>
              <w:rPr>
                <w:rFonts w:ascii="Inter" w:hAnsi="Inter" w:eastAsia="Inter" w:cs="Inter"/>
                <w:b w:val="0"/>
                <w:i w:val="0"/>
                <w:color w:val="1F2937"/>
                <w:sz w:val="20"/>
              </w:rPr>
              <w:t>SDG 5, 10</w:t>
            </w:r>
          </w:p>
        </w:tc>
      </w:tr>
      <w:tr>
        <w:tc>
          <w:tcPr>
            <w:tcW w:type="dxa" w:w="2436"/>
          </w:tcPr>
          <w:p>
            <w:r/>
            <w:r>
              <w:rPr>
                <w:rFonts w:ascii="Inter" w:hAnsi="Inter" w:eastAsia="Inter" w:cs="Inter"/>
                <w:b w:val="0"/>
                <w:i w:val="0"/>
                <w:color w:val="1F2937"/>
                <w:sz w:val="20"/>
              </w:rPr>
              <w:t>8</w:t>
            </w:r>
          </w:p>
        </w:tc>
        <w:tc>
          <w:tcPr>
            <w:tcW w:type="dxa" w:w="2436"/>
          </w:tcPr>
          <w:p>
            <w:r/>
            <w:r>
              <w:rPr>
                <w:rFonts w:ascii="Inter" w:hAnsi="Inter" w:eastAsia="Inter" w:cs="Inter"/>
                <w:b w:val="0"/>
                <w:i w:val="0"/>
                <w:color w:val="1F2937"/>
                <w:sz w:val="20"/>
              </w:rPr>
              <w:t>Safety &amp; Trust</w:t>
            </w:r>
          </w:p>
        </w:tc>
        <w:tc>
          <w:tcPr>
            <w:tcW w:type="dxa" w:w="2436"/>
          </w:tcPr>
          <w:p>
            <w:r/>
            <w:r>
              <w:rPr>
                <w:rFonts w:ascii="Inter" w:hAnsi="Inter" w:eastAsia="Inter" w:cs="Inter"/>
                <w:b w:val="0"/>
                <w:i w:val="0"/>
                <w:color w:val="1F2937"/>
                <w:sz w:val="20"/>
              </w:rPr>
              <w:t>Crime per 1000, perceived safety, clearance rate, trust in police</w:t>
            </w:r>
          </w:p>
        </w:tc>
        <w:tc>
          <w:tcPr>
            <w:tcW w:type="dxa" w:w="2436"/>
          </w:tcPr>
          <w:p>
            <w:r/>
            <w:r>
              <w:rPr>
                <w:rFonts w:ascii="Inter" w:hAnsi="Inter" w:eastAsia="Inter" w:cs="Inter"/>
                <w:b w:val="0"/>
                <w:i w:val="0"/>
                <w:color w:val="1F2937"/>
                <w:sz w:val="20"/>
              </w:rPr>
              <w:t>SDG 16.1</w:t>
            </w:r>
          </w:p>
        </w:tc>
      </w:tr>
      <w:tr>
        <w:tc>
          <w:tcPr>
            <w:tcW w:type="dxa" w:w="2436"/>
            <w:shd w:val="clear" w:color="auto" w:fill="EFF8F5"/>
          </w:tcPr>
          <w:p>
            <w:r/>
            <w:r>
              <w:rPr>
                <w:rFonts w:ascii="Inter" w:hAnsi="Inter" w:eastAsia="Inter" w:cs="Inter"/>
                <w:b w:val="0"/>
                <w:i w:val="0"/>
                <w:color w:val="1F2937"/>
                <w:sz w:val="20"/>
              </w:rPr>
              <w:t>9</w:t>
            </w:r>
          </w:p>
        </w:tc>
        <w:tc>
          <w:tcPr>
            <w:tcW w:type="dxa" w:w="2436"/>
            <w:shd w:val="clear" w:color="auto" w:fill="EFF8F5"/>
          </w:tcPr>
          <w:p>
            <w:r/>
            <w:r>
              <w:rPr>
                <w:rFonts w:ascii="Inter" w:hAnsi="Inter" w:eastAsia="Inter" w:cs="Inter"/>
                <w:b w:val="0"/>
                <w:i w:val="0"/>
                <w:color w:val="1F2937"/>
                <w:sz w:val="20"/>
              </w:rPr>
              <w:t>Civic Participation</w:t>
            </w:r>
          </w:p>
        </w:tc>
        <w:tc>
          <w:tcPr>
            <w:tcW w:type="dxa" w:w="2436"/>
            <w:shd w:val="clear" w:color="auto" w:fill="EFF8F5"/>
          </w:tcPr>
          <w:p>
            <w:r/>
            <w:r>
              <w:rPr>
                <w:rFonts w:ascii="Inter" w:hAnsi="Inter" w:eastAsia="Inter" w:cs="Inter"/>
                <w:b w:val="0"/>
                <w:i w:val="0"/>
                <w:color w:val="1F2937"/>
                <w:sz w:val="20"/>
              </w:rPr>
              <w:t>Voter turnout, Listening Score (proprietary), Agora activity, civic associations</w:t>
            </w:r>
          </w:p>
        </w:tc>
        <w:tc>
          <w:tcPr>
            <w:tcW w:type="dxa" w:w="2436"/>
            <w:shd w:val="clear" w:color="auto" w:fill="EFF8F5"/>
          </w:tcPr>
          <w:p>
            <w:r/>
            <w:r>
              <w:rPr>
                <w:rFonts w:ascii="Inter" w:hAnsi="Inter" w:eastAsia="Inter" w:cs="Inter"/>
                <w:b w:val="0"/>
                <w:i w:val="0"/>
                <w:color w:val="1F2937"/>
                <w:sz w:val="20"/>
              </w:rPr>
              <w:t>SDG 16.7</w:t>
            </w:r>
          </w:p>
        </w:tc>
      </w:tr>
    </w:tbl>
    <w:p>
      <w:pPr>
        <w:spacing w:after="120"/>
      </w:pPr>
      <w:r>
        <w:rPr>
          <w:rFonts w:ascii="Inter" w:hAnsi="Inter" w:eastAsia="Inter" w:cs="Inter"/>
          <w:b w:val="0"/>
          <w:i w:val="0"/>
          <w:color w:val="1F2937"/>
          <w:sz w:val="8"/>
        </w:rPr>
        <w:t xml:space="preserve"> </w:t>
      </w:r>
    </w:p>
    <w:tbl>
      <w:tblPr>
        <w:tblW w:type="auto" w:w="0"/>
        <w:jc w:val="center"/>
        <w:tblLook w:firstColumn="1" w:firstRow="1" w:lastColumn="0" w:lastRow="0" w:noHBand="0" w:noVBand="1" w:val="04A0"/>
      </w:tblPr>
      <w:tblGrid>
        <w:gridCol w:w="9746"/>
      </w:tblGrid>
      <w:tr>
        <w:tc>
          <w:tcPr>
            <w:tcW w:type="dxa" w:w="9746"/>
            <w:shd w:val="clear" w:color="auto" w:fill="FEE2E2"/>
          </w:tcPr>
          <w:p>
            <w:r/>
            <w:r>
              <w:rPr>
                <w:rFonts w:ascii="Inter" w:hAnsi="Inter" w:eastAsia="Inter" w:cs="Inter"/>
                <w:b/>
                <w:i w:val="0"/>
                <w:color w:val="C8102E"/>
                <w:sz w:val="18"/>
              </w:rPr>
              <w:t>⚠ LIMITATION — WHY THESE 9 AND NOT 7 OR 12?</w:t>
            </w:r>
          </w:p>
          <w:p>
            <w:r>
              <w:rPr>
                <w:rFonts w:ascii="Inter" w:hAnsi="Inter" w:eastAsia="Inter" w:cs="Inter"/>
                <w:b w:val="0"/>
                <w:i w:val="0"/>
                <w:color w:val="1F2937"/>
                <w:sz w:val="20"/>
              </w:rPr>
              <w:t>The selection of nine dimensions is currently a designer's judgment, defended post-hoc against the SDG framework. A more rigorous derivation would either (a) be empirically grounded in factor analysis of Eurostat indicators, or (b) be explicitly normative with a documented Delphi process. Neither has been done. This is one of the most important gaps for the v0.2 cycle.</w:t>
            </w:r>
          </w:p>
        </w:tc>
      </w:tr>
    </w:tbl>
    <w:p>
      <w:pPr>
        <w:spacing w:before="360" w:after="120"/>
      </w:pPr>
      <w:r>
        <w:rPr>
          <w:rFonts w:ascii="Inter" w:hAnsi="Inter" w:eastAsia="Inter" w:cs="Inter"/>
          <w:b/>
          <w:i w:val="0"/>
          <w:color w:val="1B3A2F"/>
          <w:sz w:val="30"/>
        </w:rPr>
        <w:t>4. Indicator selection per dimension</w:t>
      </w:r>
    </w:p>
    <w:p>
      <w:pPr>
        <w:spacing w:after="120"/>
      </w:pPr>
      <w:r>
        <w:rPr>
          <w:rFonts w:ascii="Inter" w:hAnsi="Inter" w:eastAsia="Inter" w:cs="Inter"/>
          <w:b w:val="0"/>
          <w:i w:val="0"/>
          <w:color w:val="1F2937"/>
          <w:sz w:val="22"/>
        </w:rPr>
        <w:t>For each dimension, we select 2–7 indicators from Eurostat Urban Audit + OpenStreetMap + curated municipal open data sources. Selection criteria, applied informally:</w:t>
      </w:r>
    </w:p>
    <w:p>
      <w:pPr>
        <w:pStyle w:val="ListBullet"/>
        <w:spacing w:after="60"/>
        <w:ind w:left="283"/>
      </w:pPr>
      <w:r>
        <w:rPr>
          <w:rFonts w:ascii="Inter" w:hAnsi="Inter" w:eastAsia="Inter" w:cs="Inter"/>
          <w:b/>
          <w:i w:val="0"/>
          <w:color w:val="1F2937"/>
          <w:sz w:val="22"/>
        </w:rPr>
        <w:t>Coverage</w:t>
      </w:r>
      <w:r>
        <w:rPr>
          <w:rFonts w:ascii="Inter" w:hAnsi="Inter" w:eastAsia="Inter" w:cs="Inter"/>
          <w:b w:val="0"/>
          <w:i w:val="0"/>
          <w:color w:val="1F2937"/>
          <w:sz w:val="22"/>
        </w:rPr>
        <w:t xml:space="preserve"> — the indicator must be available for ≥70% of cities in the cohort to avoid imputation-heavy scores.</w:t>
      </w:r>
    </w:p>
    <w:p>
      <w:pPr>
        <w:pStyle w:val="ListBullet"/>
        <w:spacing w:after="60"/>
        <w:ind w:left="283"/>
      </w:pPr>
      <w:r>
        <w:rPr>
          <w:rFonts w:ascii="Inter" w:hAnsi="Inter" w:eastAsia="Inter" w:cs="Inter"/>
          <w:b/>
          <w:i w:val="0"/>
          <w:color w:val="1F2937"/>
          <w:sz w:val="22"/>
        </w:rPr>
        <w:t>Comparability</w:t>
      </w:r>
      <w:r>
        <w:rPr>
          <w:rFonts w:ascii="Inter" w:hAnsi="Inter" w:eastAsia="Inter" w:cs="Inter"/>
          <w:b w:val="0"/>
          <w:i w:val="0"/>
          <w:color w:val="1F2937"/>
          <w:sz w:val="22"/>
        </w:rPr>
        <w:t xml:space="preserve"> — the indicator must use a consistent methodology across all included countries (we exclude indicators with major national-definition variation).</w:t>
      </w:r>
    </w:p>
    <w:p>
      <w:pPr>
        <w:pStyle w:val="ListBullet"/>
        <w:spacing w:after="60"/>
        <w:ind w:left="283"/>
      </w:pPr>
      <w:r>
        <w:rPr>
          <w:rFonts w:ascii="Inter" w:hAnsi="Inter" w:eastAsia="Inter" w:cs="Inter"/>
          <w:b/>
          <w:i w:val="0"/>
          <w:color w:val="1F2937"/>
          <w:sz w:val="22"/>
        </w:rPr>
        <w:t>Temporal stability</w:t>
      </w:r>
      <w:r>
        <w:rPr>
          <w:rFonts w:ascii="Inter" w:hAnsi="Inter" w:eastAsia="Inter" w:cs="Inter"/>
          <w:b w:val="0"/>
          <w:i w:val="0"/>
          <w:color w:val="1F2937"/>
          <w:sz w:val="22"/>
        </w:rPr>
        <w:t xml:space="preserve"> — the indicator must update at least every 3 years to keep scores meaningful.</w:t>
      </w:r>
    </w:p>
    <w:p>
      <w:pPr>
        <w:pStyle w:val="ListBullet"/>
        <w:spacing w:after="60"/>
        <w:ind w:left="283"/>
      </w:pPr>
      <w:r>
        <w:rPr>
          <w:rFonts w:ascii="Inter" w:hAnsi="Inter" w:eastAsia="Inter" w:cs="Inter"/>
          <w:b/>
          <w:i w:val="0"/>
          <w:color w:val="1F2937"/>
          <w:sz w:val="22"/>
        </w:rPr>
        <w:t>Construct validity</w:t>
      </w:r>
      <w:r>
        <w:rPr>
          <w:rFonts w:ascii="Inter" w:hAnsi="Inter" w:eastAsia="Inter" w:cs="Inter"/>
          <w:b w:val="0"/>
          <w:i w:val="0"/>
          <w:color w:val="1F2937"/>
          <w:sz w:val="22"/>
        </w:rPr>
        <w:t xml:space="preserve"> — the indicator must intuitively map to the dimension it informs (e.g. PM2.5 → Environment is uncontroversial; library density → Education is more debatable).</w:t>
      </w:r>
    </w:p>
    <w:tbl>
      <w:tblPr>
        <w:tblW w:type="auto" w:w="0"/>
        <w:jc w:val="center"/>
        <w:tblLook w:firstColumn="1" w:firstRow="1" w:lastColumn="0" w:lastRow="0" w:noHBand="0" w:noVBand="1" w:val="04A0"/>
      </w:tblPr>
      <w:tblGrid>
        <w:gridCol w:w="9746"/>
      </w:tblGrid>
      <w:tr>
        <w:tc>
          <w:tcPr>
            <w:tcW w:type="dxa" w:w="9746"/>
            <w:shd w:val="clear" w:color="auto" w:fill="FEE2E2"/>
          </w:tcPr>
          <w:p>
            <w:r/>
            <w:r>
              <w:rPr>
                <w:rFonts w:ascii="Inter" w:hAnsi="Inter" w:eastAsia="Inter" w:cs="Inter"/>
                <w:b/>
                <w:i w:val="0"/>
                <w:color w:val="C8102E"/>
                <w:sz w:val="18"/>
              </w:rPr>
              <w:t>⚠ LIMITATION — INDICATOR SELECTION IS NOT YET CRITERION-BLIND</w:t>
            </w:r>
          </w:p>
          <w:p>
            <w:r>
              <w:rPr>
                <w:rFonts w:ascii="Inter" w:hAnsi="Inter" w:eastAsia="Inter" w:cs="Inter"/>
                <w:b w:val="0"/>
                <w:i w:val="0"/>
                <w:color w:val="1F2937"/>
                <w:sz w:val="20"/>
              </w:rPr>
              <w:t>The current selection was made by the founder using familiarity with Eurostat and intuition about what matters. A best-practice approach (per OECD-JRC Handbook §3) would involve: (a) an exhaustive long-list drawn from Eurostat Urban Audit + OECD Regional Database + ESPON, (b) blind scoring of each candidate against the four criteria above, (c) sensitivity tests of how dimension scores change when borderline indicators are added or removed. This work is queued for v0.2.</w:t>
            </w:r>
          </w:p>
        </w:tc>
      </w:tr>
    </w:tbl>
    <w:p>
      <w:pPr>
        <w:spacing w:before="360" w:after="120"/>
      </w:pPr>
      <w:r>
        <w:rPr>
          <w:rFonts w:ascii="Inter" w:hAnsi="Inter" w:eastAsia="Inter" w:cs="Inter"/>
          <w:b/>
          <w:i w:val="0"/>
          <w:color w:val="1B3A2F"/>
          <w:sz w:val="30"/>
        </w:rPr>
        <w:t>5. Data sources and freshness</w:t>
      </w:r>
    </w:p>
    <w:tbl>
      <w:tblPr>
        <w:tblW w:type="auto" w:w="0"/>
        <w:jc w:val="center"/>
        <w:tblLook w:firstColumn="1" w:firstRow="1" w:lastColumn="0" w:lastRow="0" w:noHBand="0" w:noVBand="1" w:val="04A0"/>
      </w:tblPr>
      <w:tblGrid>
        <w:gridCol w:w="2436"/>
        <w:gridCol w:w="2436"/>
        <w:gridCol w:w="2436"/>
        <w:gridCol w:w="2436"/>
      </w:tblGrid>
      <w:tr>
        <w:tc>
          <w:tcPr>
            <w:tcW w:type="dxa" w:w="2436"/>
            <w:shd w:val="clear" w:color="auto" w:fill="1B3A2F"/>
          </w:tcPr>
          <w:p>
            <w:r/>
            <w:r>
              <w:rPr>
                <w:rFonts w:ascii="Inter" w:hAnsi="Inter" w:eastAsia="Inter" w:cs="Inter"/>
                <w:b/>
                <w:i w:val="0"/>
                <w:color w:val="FFC222"/>
                <w:sz w:val="20"/>
              </w:rPr>
              <w:t>Source</w:t>
            </w:r>
          </w:p>
        </w:tc>
        <w:tc>
          <w:tcPr>
            <w:tcW w:type="dxa" w:w="2436"/>
            <w:shd w:val="clear" w:color="auto" w:fill="1B3A2F"/>
          </w:tcPr>
          <w:p>
            <w:r/>
            <w:r>
              <w:rPr>
                <w:rFonts w:ascii="Inter" w:hAnsi="Inter" w:eastAsia="Inter" w:cs="Inter"/>
                <w:b/>
                <w:i w:val="0"/>
                <w:color w:val="FFC222"/>
                <w:sz w:val="20"/>
              </w:rPr>
              <w:t>Coverage</w:t>
            </w:r>
          </w:p>
        </w:tc>
        <w:tc>
          <w:tcPr>
            <w:tcW w:type="dxa" w:w="2436"/>
            <w:shd w:val="clear" w:color="auto" w:fill="1B3A2F"/>
          </w:tcPr>
          <w:p>
            <w:r/>
            <w:r>
              <w:rPr>
                <w:rFonts w:ascii="Inter" w:hAnsi="Inter" w:eastAsia="Inter" w:cs="Inter"/>
                <w:b/>
                <w:i w:val="0"/>
                <w:color w:val="FFC222"/>
                <w:sz w:val="20"/>
              </w:rPr>
              <w:t>Refresh</w:t>
            </w:r>
          </w:p>
        </w:tc>
        <w:tc>
          <w:tcPr>
            <w:tcW w:type="dxa" w:w="2436"/>
            <w:shd w:val="clear" w:color="auto" w:fill="1B3A2F"/>
          </w:tcPr>
          <w:p>
            <w:r/>
            <w:r>
              <w:rPr>
                <w:rFonts w:ascii="Inter" w:hAnsi="Inter" w:eastAsia="Inter" w:cs="Inter"/>
                <w:b/>
                <w:i w:val="0"/>
                <w:color w:val="FFC222"/>
                <w:sz w:val="20"/>
              </w:rPr>
              <w:t>Confidence</w:t>
            </w:r>
          </w:p>
        </w:tc>
      </w:tr>
      <w:tr>
        <w:tc>
          <w:tcPr>
            <w:tcW w:type="dxa" w:w="2436"/>
            <w:shd w:val="clear" w:color="auto" w:fill="EFF8F5"/>
          </w:tcPr>
          <w:p>
            <w:r/>
            <w:r>
              <w:rPr>
                <w:rFonts w:ascii="Inter" w:hAnsi="Inter" w:eastAsia="Inter" w:cs="Inter"/>
                <w:b w:val="0"/>
                <w:i w:val="0"/>
                <w:color w:val="1F2937"/>
                <w:sz w:val="20"/>
              </w:rPr>
              <w:t>Eurostat Urban Audit</w:t>
            </w:r>
          </w:p>
        </w:tc>
        <w:tc>
          <w:tcPr>
            <w:tcW w:type="dxa" w:w="2436"/>
            <w:shd w:val="clear" w:color="auto" w:fill="EFF8F5"/>
          </w:tcPr>
          <w:p>
            <w:r/>
            <w:r>
              <w:rPr>
                <w:rFonts w:ascii="Inter" w:hAnsi="Inter" w:eastAsia="Inter" w:cs="Inter"/>
                <w:b w:val="0"/>
                <w:i w:val="0"/>
                <w:color w:val="1F2937"/>
                <w:sz w:val="20"/>
              </w:rPr>
              <w:t>350+ indicators per city</w:t>
            </w:r>
          </w:p>
        </w:tc>
        <w:tc>
          <w:tcPr>
            <w:tcW w:type="dxa" w:w="2436"/>
            <w:shd w:val="clear" w:color="auto" w:fill="EFF8F5"/>
          </w:tcPr>
          <w:p>
            <w:r/>
            <w:r>
              <w:rPr>
                <w:rFonts w:ascii="Inter" w:hAnsi="Inter" w:eastAsia="Inter" w:cs="Inter"/>
                <w:b w:val="0"/>
                <w:i w:val="0"/>
                <w:color w:val="1F2937"/>
                <w:sz w:val="20"/>
              </w:rPr>
              <w:t>Annual (Q4)</w:t>
            </w:r>
          </w:p>
        </w:tc>
        <w:tc>
          <w:tcPr>
            <w:tcW w:type="dxa" w:w="2436"/>
            <w:shd w:val="clear" w:color="auto" w:fill="EFF8F5"/>
          </w:tcPr>
          <w:p>
            <w:r/>
            <w:r>
              <w:rPr>
                <w:rFonts w:ascii="Inter" w:hAnsi="Inter" w:eastAsia="Inter" w:cs="Inter"/>
                <w:b w:val="0"/>
                <w:i w:val="0"/>
                <w:color w:val="1F2937"/>
                <w:sz w:val="20"/>
              </w:rPr>
              <w:t>High — official EU statistics</w:t>
            </w:r>
          </w:p>
        </w:tc>
      </w:tr>
      <w:tr>
        <w:tc>
          <w:tcPr>
            <w:tcW w:type="dxa" w:w="2436"/>
          </w:tcPr>
          <w:p>
            <w:r/>
            <w:r>
              <w:rPr>
                <w:rFonts w:ascii="Inter" w:hAnsi="Inter" w:eastAsia="Inter" w:cs="Inter"/>
                <w:b w:val="0"/>
                <w:i w:val="0"/>
                <w:color w:val="1F2937"/>
                <w:sz w:val="20"/>
              </w:rPr>
              <w:t>OpenStreetMap</w:t>
            </w:r>
          </w:p>
        </w:tc>
        <w:tc>
          <w:tcPr>
            <w:tcW w:type="dxa" w:w="2436"/>
          </w:tcPr>
          <w:p>
            <w:r/>
            <w:r>
              <w:rPr>
                <w:rFonts w:ascii="Inter" w:hAnsi="Inter" w:eastAsia="Inter" w:cs="Inter"/>
                <w:b w:val="0"/>
                <w:i w:val="0"/>
                <w:color w:val="1F2937"/>
                <w:sz w:val="20"/>
              </w:rPr>
              <w:t>Land-use, infrastructure, POI</w:t>
            </w:r>
          </w:p>
        </w:tc>
        <w:tc>
          <w:tcPr>
            <w:tcW w:type="dxa" w:w="2436"/>
          </w:tcPr>
          <w:p>
            <w:r/>
            <w:r>
              <w:rPr>
                <w:rFonts w:ascii="Inter" w:hAnsi="Inter" w:eastAsia="Inter" w:cs="Inter"/>
                <w:b w:val="0"/>
                <w:i w:val="0"/>
                <w:color w:val="1F2937"/>
                <w:sz w:val="20"/>
              </w:rPr>
              <w:t>Continuous; we snapshot monthly</w:t>
            </w:r>
          </w:p>
        </w:tc>
        <w:tc>
          <w:tcPr>
            <w:tcW w:type="dxa" w:w="2436"/>
          </w:tcPr>
          <w:p>
            <w:r/>
            <w:r>
              <w:rPr>
                <w:rFonts w:ascii="Inter" w:hAnsi="Inter" w:eastAsia="Inter" w:cs="Inter"/>
                <w:b w:val="0"/>
                <w:i w:val="0"/>
                <w:color w:val="1F2937"/>
                <w:sz w:val="20"/>
              </w:rPr>
              <w:t>Variable — community-edited</w:t>
            </w:r>
          </w:p>
        </w:tc>
      </w:tr>
      <w:tr>
        <w:tc>
          <w:tcPr>
            <w:tcW w:type="dxa" w:w="2436"/>
            <w:shd w:val="clear" w:color="auto" w:fill="EFF8F5"/>
          </w:tcPr>
          <w:p>
            <w:r/>
            <w:r>
              <w:rPr>
                <w:rFonts w:ascii="Inter" w:hAnsi="Inter" w:eastAsia="Inter" w:cs="Inter"/>
                <w:b w:val="0"/>
                <w:i w:val="0"/>
                <w:color w:val="1F2937"/>
                <w:sz w:val="20"/>
              </w:rPr>
              <w:t>Municipal open-data portals</w:t>
            </w:r>
          </w:p>
        </w:tc>
        <w:tc>
          <w:tcPr>
            <w:tcW w:type="dxa" w:w="2436"/>
            <w:shd w:val="clear" w:color="auto" w:fill="EFF8F5"/>
          </w:tcPr>
          <w:p>
            <w:r/>
            <w:r>
              <w:rPr>
                <w:rFonts w:ascii="Inter" w:hAnsi="Inter" w:eastAsia="Inter" w:cs="Inter"/>
                <w:b w:val="0"/>
                <w:i w:val="0"/>
                <w:color w:val="1F2937"/>
                <w:sz w:val="20"/>
              </w:rPr>
              <w:t>Country-specific, ad-hoc</w:t>
            </w:r>
          </w:p>
        </w:tc>
        <w:tc>
          <w:tcPr>
            <w:tcW w:type="dxa" w:w="2436"/>
            <w:shd w:val="clear" w:color="auto" w:fill="EFF8F5"/>
          </w:tcPr>
          <w:p>
            <w:r/>
            <w:r>
              <w:rPr>
                <w:rFonts w:ascii="Inter" w:hAnsi="Inter" w:eastAsia="Inter" w:cs="Inter"/>
                <w:b w:val="0"/>
                <w:i w:val="0"/>
                <w:color w:val="1F2937"/>
                <w:sz w:val="20"/>
              </w:rPr>
              <w:t>Variable</w:t>
            </w:r>
          </w:p>
        </w:tc>
        <w:tc>
          <w:tcPr>
            <w:tcW w:type="dxa" w:w="2436"/>
            <w:shd w:val="clear" w:color="auto" w:fill="EFF8F5"/>
          </w:tcPr>
          <w:p>
            <w:r/>
            <w:r>
              <w:rPr>
                <w:rFonts w:ascii="Inter" w:hAnsi="Inter" w:eastAsia="Inter" w:cs="Inter"/>
                <w:b w:val="0"/>
                <w:i w:val="0"/>
                <w:color w:val="1F2937"/>
                <w:sz w:val="20"/>
              </w:rPr>
              <w:t>Variable — depends on city</w:t>
            </w:r>
          </w:p>
        </w:tc>
      </w:tr>
      <w:tr>
        <w:tc>
          <w:tcPr>
            <w:tcW w:type="dxa" w:w="2436"/>
          </w:tcPr>
          <w:p>
            <w:r/>
            <w:r>
              <w:rPr>
                <w:rFonts w:ascii="Inter" w:hAnsi="Inter" w:eastAsia="Inter" w:cs="Inter"/>
                <w:b w:val="0"/>
                <w:i w:val="0"/>
                <w:color w:val="1F2937"/>
                <w:sz w:val="20"/>
              </w:rPr>
              <w:t>OECD Regional Database</w:t>
            </w:r>
          </w:p>
        </w:tc>
        <w:tc>
          <w:tcPr>
            <w:tcW w:type="dxa" w:w="2436"/>
          </w:tcPr>
          <w:p>
            <w:r/>
            <w:r>
              <w:rPr>
                <w:rFonts w:ascii="Inter" w:hAnsi="Inter" w:eastAsia="Inter" w:cs="Inter"/>
                <w:b w:val="0"/>
                <w:i w:val="0"/>
                <w:color w:val="1F2937"/>
                <w:sz w:val="20"/>
              </w:rPr>
              <w:t>Regional aggregates (planned for v0.2)</w:t>
            </w:r>
          </w:p>
        </w:tc>
        <w:tc>
          <w:tcPr>
            <w:tcW w:type="dxa" w:w="2436"/>
          </w:tcPr>
          <w:p>
            <w:r/>
            <w:r>
              <w:rPr>
                <w:rFonts w:ascii="Inter" w:hAnsi="Inter" w:eastAsia="Inter" w:cs="Inter"/>
                <w:b w:val="0"/>
                <w:i w:val="0"/>
                <w:color w:val="1F2937"/>
                <w:sz w:val="20"/>
              </w:rPr>
              <w:t>Annual</w:t>
            </w:r>
          </w:p>
        </w:tc>
        <w:tc>
          <w:tcPr>
            <w:tcW w:type="dxa" w:w="2436"/>
          </w:tcPr>
          <w:p>
            <w:r/>
            <w:r>
              <w:rPr>
                <w:rFonts w:ascii="Inter" w:hAnsi="Inter" w:eastAsia="Inter" w:cs="Inter"/>
                <w:b w:val="0"/>
                <w:i w:val="0"/>
                <w:color w:val="1F2937"/>
                <w:sz w:val="20"/>
              </w:rPr>
              <w:t>High</w:t>
            </w:r>
          </w:p>
        </w:tc>
      </w:tr>
      <w:tr>
        <w:tc>
          <w:tcPr>
            <w:tcW w:type="dxa" w:w="2436"/>
            <w:shd w:val="clear" w:color="auto" w:fill="EFF8F5"/>
          </w:tcPr>
          <w:p>
            <w:r/>
            <w:r>
              <w:rPr>
                <w:rFonts w:ascii="Inter" w:hAnsi="Inter" w:eastAsia="Inter" w:cs="Inter"/>
                <w:b w:val="0"/>
                <w:i w:val="0"/>
                <w:color w:val="1F2937"/>
                <w:sz w:val="20"/>
              </w:rPr>
              <w:t>Internal — Listening Score</w:t>
            </w:r>
          </w:p>
        </w:tc>
        <w:tc>
          <w:tcPr>
            <w:tcW w:type="dxa" w:w="2436"/>
            <w:shd w:val="clear" w:color="auto" w:fill="EFF8F5"/>
          </w:tcPr>
          <w:p>
            <w:r/>
            <w:r>
              <w:rPr>
                <w:rFonts w:ascii="Inter" w:hAnsi="Inter" w:eastAsia="Inter" w:cs="Inter"/>
                <w:b w:val="0"/>
                <w:i w:val="0"/>
                <w:color w:val="1F2937"/>
                <w:sz w:val="20"/>
              </w:rPr>
              <w:t>% of Agora posts city responded to within 30 days</w:t>
            </w:r>
          </w:p>
        </w:tc>
        <w:tc>
          <w:tcPr>
            <w:tcW w:type="dxa" w:w="2436"/>
            <w:shd w:val="clear" w:color="auto" w:fill="EFF8F5"/>
          </w:tcPr>
          <w:p>
            <w:r/>
            <w:r>
              <w:rPr>
                <w:rFonts w:ascii="Inter" w:hAnsi="Inter" w:eastAsia="Inter" w:cs="Inter"/>
                <w:b w:val="0"/>
                <w:i w:val="0"/>
                <w:color w:val="1F2937"/>
                <w:sz w:val="20"/>
              </w:rPr>
              <w:t>Daily</w:t>
            </w:r>
          </w:p>
        </w:tc>
        <w:tc>
          <w:tcPr>
            <w:tcW w:type="dxa" w:w="2436"/>
            <w:shd w:val="clear" w:color="auto" w:fill="EFF8F5"/>
          </w:tcPr>
          <w:p>
            <w:r/>
            <w:r>
              <w:rPr>
                <w:rFonts w:ascii="Inter" w:hAnsi="Inter" w:eastAsia="Inter" w:cs="Inter"/>
                <w:b w:val="0"/>
                <w:i w:val="0"/>
                <w:color w:val="1F2937"/>
                <w:sz w:val="20"/>
              </w:rPr>
              <w:t>Live but small sample (only Cittopia cities)</w:t>
            </w:r>
          </w:p>
        </w:tc>
      </w:tr>
      <w:tr>
        <w:tc>
          <w:tcPr>
            <w:tcW w:type="dxa" w:w="2436"/>
          </w:tcPr>
          <w:p>
            <w:r/>
            <w:r>
              <w:rPr>
                <w:rFonts w:ascii="Inter" w:hAnsi="Inter" w:eastAsia="Inter" w:cs="Inter"/>
                <w:b w:val="0"/>
                <w:i w:val="0"/>
                <w:color w:val="1F2937"/>
                <w:sz w:val="20"/>
              </w:rPr>
              <w:t>Voter turnout</w:t>
            </w:r>
          </w:p>
        </w:tc>
        <w:tc>
          <w:tcPr>
            <w:tcW w:type="dxa" w:w="2436"/>
          </w:tcPr>
          <w:p>
            <w:r/>
            <w:r>
              <w:rPr>
                <w:rFonts w:ascii="Inter" w:hAnsi="Inter" w:eastAsia="Inter" w:cs="Inter"/>
                <w:b w:val="0"/>
                <w:i w:val="0"/>
                <w:color w:val="1F2937"/>
                <w:sz w:val="20"/>
              </w:rPr>
              <w:t>Eurostat / national electoral commissions</w:t>
            </w:r>
          </w:p>
        </w:tc>
        <w:tc>
          <w:tcPr>
            <w:tcW w:type="dxa" w:w="2436"/>
          </w:tcPr>
          <w:p>
            <w:r/>
            <w:r>
              <w:rPr>
                <w:rFonts w:ascii="Inter" w:hAnsi="Inter" w:eastAsia="Inter" w:cs="Inter"/>
                <w:b w:val="0"/>
                <w:i w:val="0"/>
                <w:color w:val="1F2937"/>
                <w:sz w:val="20"/>
              </w:rPr>
              <w:t>Per election cycle</w:t>
            </w:r>
          </w:p>
        </w:tc>
        <w:tc>
          <w:tcPr>
            <w:tcW w:type="dxa" w:w="2436"/>
          </w:tcPr>
          <w:p>
            <w:r/>
            <w:r>
              <w:rPr>
                <w:rFonts w:ascii="Inter" w:hAnsi="Inter" w:eastAsia="Inter" w:cs="Inter"/>
                <w:b w:val="0"/>
                <w:i w:val="0"/>
                <w:color w:val="1F2937"/>
                <w:sz w:val="20"/>
              </w:rPr>
              <w:t>High but sparse update cadence</w:t>
            </w:r>
          </w:p>
        </w:tc>
      </w:tr>
    </w:tbl>
    <w:p>
      <w:pPr>
        <w:spacing w:after="120"/>
      </w:pPr>
      <w:r>
        <w:rPr>
          <w:rFonts w:ascii="Inter" w:hAnsi="Inter" w:eastAsia="Inter" w:cs="Inter"/>
          <w:b w:val="0"/>
          <w:i w:val="0"/>
          <w:color w:val="1F2937"/>
          <w:sz w:val="8"/>
        </w:rPr>
        <w:t xml:space="preserve"> </w:t>
      </w:r>
    </w:p>
    <w:p>
      <w:pPr>
        <w:spacing w:before="360" w:after="120"/>
      </w:pPr>
      <w:r>
        <w:rPr>
          <w:rFonts w:ascii="Inter" w:hAnsi="Inter" w:eastAsia="Inter" w:cs="Inter"/>
          <w:b/>
          <w:i w:val="0"/>
          <w:color w:val="1B3A2F"/>
          <w:sz w:val="30"/>
        </w:rPr>
        <w:t>6. Computation pipeline — current implementation</w:t>
      </w:r>
    </w:p>
    <w:p>
      <w:pPr>
        <w:spacing w:before="240" w:after="80"/>
      </w:pPr>
      <w:r>
        <w:rPr>
          <w:rFonts w:ascii="Inter" w:hAnsi="Inter" w:eastAsia="Inter" w:cs="Inter"/>
          <w:b/>
          <w:i w:val="0"/>
          <w:color w:val="2CA58D"/>
          <w:sz w:val="24"/>
        </w:rPr>
        <w:t>6.1 Normalisation</w:t>
      </w:r>
    </w:p>
    <w:p>
      <w:pPr>
        <w:spacing w:after="120"/>
      </w:pPr>
      <w:r>
        <w:rPr>
          <w:rFonts w:ascii="Inter" w:hAnsi="Inter" w:eastAsia="Inter" w:cs="Inter"/>
          <w:b w:val="0"/>
          <w:i w:val="0"/>
          <w:color w:val="1F2937"/>
          <w:sz w:val="22"/>
        </w:rPr>
        <w:t>Each indicator is normalised against the EU cohort using a z-score scaled to a 20-point spread:</w:t>
      </w:r>
    </w:p>
    <w:p>
      <w:pPr>
        <w:spacing w:after="120"/>
      </w:pPr>
      <w:r>
        <w:rPr>
          <w:rFonts w:ascii="Inter" w:hAnsi="Inter" w:eastAsia="Inter" w:cs="Inter"/>
          <w:b w:val="0"/>
          <w:i/>
          <w:color w:val="2CA58D"/>
          <w:sz w:val="22"/>
        </w:rPr>
        <w:t xml:space="preserve">    score(c, d, i) = clamp(0, 100, μ_EU + ((value(c, d, i) − μ_EU) / σ_EU) × 20)</w:t>
      </w:r>
    </w:p>
    <w:p>
      <w:pPr>
        <w:spacing w:after="120"/>
      </w:pPr>
      <w:r>
        <w:rPr>
          <w:rFonts w:ascii="Inter" w:hAnsi="Inter" w:eastAsia="Inter" w:cs="Inter"/>
          <w:b w:val="0"/>
          <w:i w:val="0"/>
          <w:color w:val="1F2937"/>
          <w:sz w:val="22"/>
        </w:rPr>
        <w:t>where μ_EU and σ_EU are the cohort mean and standard deviation. A city one standard deviation above the EU mean scores 70 on that indicator. Outliers are clamped to [0, 100].</w:t>
      </w:r>
    </w:p>
    <w:tbl>
      <w:tblPr>
        <w:tblW w:type="auto" w:w="0"/>
        <w:jc w:val="center"/>
        <w:tblLook w:firstColumn="1" w:firstRow="1" w:lastColumn="0" w:lastRow="0" w:noHBand="0" w:noVBand="1" w:val="04A0"/>
      </w:tblPr>
      <w:tblGrid>
        <w:gridCol w:w="9746"/>
      </w:tblGrid>
      <w:tr>
        <w:tc>
          <w:tcPr>
            <w:tcW w:type="dxa" w:w="9746"/>
            <w:shd w:val="clear" w:color="auto" w:fill="FEE2E2"/>
          </w:tcPr>
          <w:p>
            <w:r/>
            <w:r>
              <w:rPr>
                <w:rFonts w:ascii="Inter" w:hAnsi="Inter" w:eastAsia="Inter" w:cs="Inter"/>
                <w:b/>
                <w:i w:val="0"/>
                <w:color w:val="C8102E"/>
                <w:sz w:val="18"/>
              </w:rPr>
              <w:t>⚠ LIMITATION — NORMALISATION CHOICE HAS NOT BEEN STRESS-TESTED</w:t>
            </w:r>
          </w:p>
          <w:p>
            <w:r>
              <w:rPr>
                <w:rFonts w:ascii="Inter" w:hAnsi="Inter" w:eastAsia="Inter" w:cs="Inter"/>
                <w:b w:val="0"/>
                <w:i w:val="0"/>
                <w:color w:val="1F2937"/>
                <w:sz w:val="20"/>
              </w:rPr>
              <w:t>Z-score normalisation makes scores depend on the cohort. A city can improve in absolute terms while its score drops because peers improved more. Alternative methods (min-max, distance-from-frontier, categorical scaling) would yield different rankings. We have not run a side-by-side comparison.</w:t>
            </w:r>
          </w:p>
        </w:tc>
      </w:tr>
    </w:tbl>
    <w:p>
      <w:pPr>
        <w:spacing w:before="240" w:after="80"/>
      </w:pPr>
      <w:r>
        <w:rPr>
          <w:rFonts w:ascii="Inter" w:hAnsi="Inter" w:eastAsia="Inter" w:cs="Inter"/>
          <w:b/>
          <w:i w:val="0"/>
          <w:color w:val="2CA58D"/>
          <w:sz w:val="24"/>
        </w:rPr>
        <w:t>6.2 Indicator → Dimension aggregation</w:t>
      </w:r>
    </w:p>
    <w:p>
      <w:pPr>
        <w:spacing w:after="120"/>
      </w:pPr>
      <w:r>
        <w:rPr>
          <w:rFonts w:ascii="Inter" w:hAnsi="Inter" w:eastAsia="Inter" w:cs="Inter"/>
          <w:b w:val="0"/>
          <w:i w:val="0"/>
          <w:color w:val="1F2937"/>
          <w:sz w:val="22"/>
        </w:rPr>
        <w:t>Within a dimension, the constituent indicator scores are averaged with equal weights to produce a dimension score in [0, 100]. Where indicators are missing for a city, the dimension score is computed over the available subset, with a coverage flag attached.</w:t>
      </w:r>
    </w:p>
    <w:p>
      <w:pPr>
        <w:spacing w:before="240" w:after="80"/>
      </w:pPr>
      <w:r>
        <w:rPr>
          <w:rFonts w:ascii="Inter" w:hAnsi="Inter" w:eastAsia="Inter" w:cs="Inter"/>
          <w:b/>
          <w:i w:val="0"/>
          <w:color w:val="2CA58D"/>
          <w:sz w:val="24"/>
        </w:rPr>
        <w:t>6.3 Dimension → Pulse aggregation</w:t>
      </w:r>
    </w:p>
    <w:p>
      <w:pPr>
        <w:spacing w:after="120"/>
      </w:pPr>
      <w:r>
        <w:rPr>
          <w:rFonts w:ascii="Inter" w:hAnsi="Inter" w:eastAsia="Inter" w:cs="Inter"/>
          <w:b w:val="0"/>
          <w:i w:val="0"/>
          <w:color w:val="1F2937"/>
          <w:sz w:val="22"/>
        </w:rPr>
        <w:t>The nine dimension scores are aggregated to produce the city Pulse:</w:t>
      </w:r>
    </w:p>
    <w:p>
      <w:pPr>
        <w:spacing w:after="120"/>
      </w:pPr>
      <w:r>
        <w:rPr>
          <w:rFonts w:ascii="Inter" w:hAnsi="Inter" w:eastAsia="Inter" w:cs="Inter"/>
          <w:b w:val="0"/>
          <w:i/>
          <w:color w:val="2CA58D"/>
          <w:sz w:val="22"/>
        </w:rPr>
        <w:t xml:space="preserve">    Pulse(c) = Σ score(c, d) × w(d), where Σ w(d) = 1</w:t>
      </w:r>
    </w:p>
    <w:p>
      <w:pPr>
        <w:spacing w:after="120"/>
      </w:pPr>
      <w:r>
        <w:rPr>
          <w:rFonts w:ascii="Inter" w:hAnsi="Inter" w:eastAsia="Inter" w:cs="Inter"/>
          <w:b w:val="0"/>
          <w:i w:val="0"/>
          <w:color w:val="1F2937"/>
          <w:sz w:val="22"/>
        </w:rPr>
        <w:t>Default weights are equal: w(d) = 1/9 for all d. This is a deliberate choice — equal weighting is the default recommended by the OECD-JRC Handbook in the absence of theoretical justification for differential weights. We consider it a transparent baseline rather than a defensible final answer.</w:t>
      </w:r>
    </w:p>
    <w:p>
      <w:pPr>
        <w:spacing w:before="240" w:after="80"/>
      </w:pPr>
      <w:r>
        <w:rPr>
          <w:rFonts w:ascii="Inter" w:hAnsi="Inter" w:eastAsia="Inter" w:cs="Inter"/>
          <w:b/>
          <w:i w:val="0"/>
          <w:color w:val="2CA58D"/>
          <w:sz w:val="24"/>
        </w:rPr>
        <w:t>6.4 Population-weighted regional aggregation</w:t>
      </w:r>
    </w:p>
    <w:p>
      <w:pPr>
        <w:spacing w:after="120"/>
      </w:pPr>
      <w:r>
        <w:rPr>
          <w:rFonts w:ascii="Inter" w:hAnsi="Inter" w:eastAsia="Inter" w:cs="Inter"/>
          <w:b w:val="0"/>
          <w:i w:val="0"/>
          <w:color w:val="1F2937"/>
          <w:sz w:val="22"/>
        </w:rPr>
        <w:t>For regional Pulse scores (e.g. Mazowieckie Voivodeship), member-city Pulses are aggregated using population weights:</w:t>
      </w:r>
    </w:p>
    <w:p>
      <w:pPr>
        <w:spacing w:after="120"/>
      </w:pPr>
      <w:r>
        <w:rPr>
          <w:rFonts w:ascii="Inter" w:hAnsi="Inter" w:eastAsia="Inter" w:cs="Inter"/>
          <w:b w:val="0"/>
          <w:i/>
          <w:color w:val="2CA58D"/>
          <w:sz w:val="22"/>
        </w:rPr>
        <w:t xml:space="preserve">    PulseRegion(R) = Σ (Pulse(c) × pop(c)) / Σ pop(c), c ∈ R</w:t>
      </w:r>
    </w:p>
    <w:tbl>
      <w:tblPr>
        <w:tblW w:type="auto" w:w="0"/>
        <w:jc w:val="center"/>
        <w:tblLook w:firstColumn="1" w:firstRow="1" w:lastColumn="0" w:lastRow="0" w:noHBand="0" w:noVBand="1" w:val="04A0"/>
      </w:tblPr>
      <w:tblGrid>
        <w:gridCol w:w="9746"/>
      </w:tblGrid>
      <w:tr>
        <w:tc>
          <w:tcPr>
            <w:tcW w:type="dxa" w:w="9746"/>
            <w:shd w:val="clear" w:color="auto" w:fill="FEE2E2"/>
          </w:tcPr>
          <w:p>
            <w:r/>
            <w:r>
              <w:rPr>
                <w:rFonts w:ascii="Inter" w:hAnsi="Inter" w:eastAsia="Inter" w:cs="Inter"/>
                <w:b/>
                <w:i w:val="0"/>
                <w:color w:val="C8102E"/>
                <w:sz w:val="18"/>
              </w:rPr>
              <w:t>⚠ LIMITATION — AGGREGATION IS FULLY COMPENSATORY</w:t>
            </w:r>
          </w:p>
          <w:p>
            <w:r>
              <w:rPr>
                <w:rFonts w:ascii="Inter" w:hAnsi="Inter" w:eastAsia="Inter" w:cs="Inter"/>
                <w:b w:val="0"/>
                <w:i w:val="0"/>
                <w:color w:val="1F2937"/>
                <w:sz w:val="20"/>
              </w:rPr>
              <w:t>Linear weighted aggregation means a city with disastrous Health and excellent Economy can score the same as one with mediocre both. Munda (2008), Saisana et al. (2005) argue this is inappropriate when dimensions represent qualitatively distinct concerns. A non-compensatory or geometric aggregation would penalise imbalanced profiles. We have not implemented any alternative aggregation; this is queued for v0.2.</w:t>
            </w:r>
          </w:p>
        </w:tc>
      </w:tr>
    </w:tbl>
    <w:p>
      <w:pPr>
        <w:spacing w:before="360" w:after="120"/>
      </w:pPr>
      <w:r>
        <w:rPr>
          <w:rFonts w:ascii="Inter" w:hAnsi="Inter" w:eastAsia="Inter" w:cs="Inter"/>
          <w:b/>
          <w:i w:val="0"/>
          <w:color w:val="1B3A2F"/>
          <w:sz w:val="30"/>
        </w:rPr>
        <w:t>7. Population adjustment for resident-driven indicators</w:t>
      </w:r>
    </w:p>
    <w:p>
      <w:pPr>
        <w:spacing w:after="120"/>
      </w:pPr>
      <w:r>
        <w:rPr>
          <w:rFonts w:ascii="Inter" w:hAnsi="Inter" w:eastAsia="Inter" w:cs="Inter"/>
          <w:b w:val="0"/>
          <w:i w:val="0"/>
          <w:color w:val="1F2937"/>
          <w:sz w:val="22"/>
        </w:rPr>
        <w:t>For Civic Participation specifically — where the score depends on resident behaviour (Listening Score engagement, voter turnout) — we apply a tier-based adjustment so that smaller cities are not penalised by absolute participation levels:</w:t>
      </w:r>
    </w:p>
    <w:tbl>
      <w:tblPr>
        <w:tblW w:type="auto" w:w="0"/>
        <w:jc w:val="center"/>
        <w:tblLook w:firstColumn="1" w:firstRow="1" w:lastColumn="0" w:lastRow="0" w:noHBand="0" w:noVBand="1" w:val="04A0"/>
      </w:tblPr>
      <w:tblGrid>
        <w:gridCol w:w="3249"/>
        <w:gridCol w:w="3249"/>
        <w:gridCol w:w="3249"/>
      </w:tblGrid>
      <w:tr>
        <w:tc>
          <w:tcPr>
            <w:tcW w:type="dxa" w:w="3249"/>
            <w:shd w:val="clear" w:color="auto" w:fill="1B3A2F"/>
          </w:tcPr>
          <w:p>
            <w:r/>
            <w:r>
              <w:rPr>
                <w:rFonts w:ascii="Inter" w:hAnsi="Inter" w:eastAsia="Inter" w:cs="Inter"/>
                <w:b/>
                <w:i w:val="0"/>
                <w:color w:val="FFC222"/>
                <w:sz w:val="20"/>
              </w:rPr>
              <w:t>Tier</w:t>
            </w:r>
          </w:p>
        </w:tc>
        <w:tc>
          <w:tcPr>
            <w:tcW w:type="dxa" w:w="3249"/>
            <w:shd w:val="clear" w:color="auto" w:fill="1B3A2F"/>
          </w:tcPr>
          <w:p>
            <w:r/>
            <w:r>
              <w:rPr>
                <w:rFonts w:ascii="Inter" w:hAnsi="Inter" w:eastAsia="Inter" w:cs="Inter"/>
                <w:b/>
                <w:i w:val="0"/>
                <w:color w:val="FFC222"/>
                <w:sz w:val="20"/>
              </w:rPr>
              <w:t>Population</w:t>
            </w:r>
          </w:p>
        </w:tc>
        <w:tc>
          <w:tcPr>
            <w:tcW w:type="dxa" w:w="3249"/>
            <w:shd w:val="clear" w:color="auto" w:fill="1B3A2F"/>
          </w:tcPr>
          <w:p>
            <w:r/>
            <w:r>
              <w:rPr>
                <w:rFonts w:ascii="Inter" w:hAnsi="Inter" w:eastAsia="Inter" w:cs="Inter"/>
                <w:b/>
                <w:i w:val="0"/>
                <w:color w:val="FFC222"/>
                <w:sz w:val="20"/>
              </w:rPr>
              <w:t>Resident-driven weight</w:t>
            </w:r>
          </w:p>
        </w:tc>
      </w:tr>
      <w:tr>
        <w:tc>
          <w:tcPr>
            <w:tcW w:type="dxa" w:w="3249"/>
            <w:shd w:val="clear" w:color="auto" w:fill="EFF8F5"/>
          </w:tcPr>
          <w:p>
            <w:r/>
            <w:r>
              <w:rPr>
                <w:rFonts w:ascii="Inter" w:hAnsi="Inter" w:eastAsia="Inter" w:cs="Inter"/>
                <w:b w:val="0"/>
                <w:i w:val="0"/>
                <w:color w:val="1F2937"/>
                <w:sz w:val="20"/>
              </w:rPr>
              <w:t>Megacity (Tier 1)</w:t>
            </w:r>
          </w:p>
        </w:tc>
        <w:tc>
          <w:tcPr>
            <w:tcW w:type="dxa" w:w="3249"/>
            <w:shd w:val="clear" w:color="auto" w:fill="EFF8F5"/>
          </w:tcPr>
          <w:p>
            <w:r/>
            <w:r>
              <w:rPr>
                <w:rFonts w:ascii="Inter" w:hAnsi="Inter" w:eastAsia="Inter" w:cs="Inter"/>
                <w:b w:val="0"/>
                <w:i w:val="0"/>
                <w:color w:val="1F2937"/>
                <w:sz w:val="20"/>
              </w:rPr>
              <w:t>1M+</w:t>
            </w:r>
          </w:p>
        </w:tc>
        <w:tc>
          <w:tcPr>
            <w:tcW w:type="dxa" w:w="3249"/>
            <w:shd w:val="clear" w:color="auto" w:fill="EFF8F5"/>
          </w:tcPr>
          <w:p>
            <w:r/>
            <w:r>
              <w:rPr>
                <w:rFonts w:ascii="Inter" w:hAnsi="Inter" w:eastAsia="Inter" w:cs="Inter"/>
                <w:b w:val="0"/>
                <w:i w:val="0"/>
                <w:color w:val="1F2937"/>
                <w:sz w:val="20"/>
              </w:rPr>
              <w:t>25% of dimension score driven by participation rate</w:t>
            </w:r>
          </w:p>
        </w:tc>
      </w:tr>
      <w:tr>
        <w:tc>
          <w:tcPr>
            <w:tcW w:type="dxa" w:w="3249"/>
          </w:tcPr>
          <w:p>
            <w:r/>
            <w:r>
              <w:rPr>
                <w:rFonts w:ascii="Inter" w:hAnsi="Inter" w:eastAsia="Inter" w:cs="Inter"/>
                <w:b w:val="0"/>
                <w:i w:val="0"/>
                <w:color w:val="1F2937"/>
                <w:sz w:val="20"/>
              </w:rPr>
              <w:t>Large (Tier 2)</w:t>
            </w:r>
          </w:p>
        </w:tc>
        <w:tc>
          <w:tcPr>
            <w:tcW w:type="dxa" w:w="3249"/>
          </w:tcPr>
          <w:p>
            <w:r/>
            <w:r>
              <w:rPr>
                <w:rFonts w:ascii="Inter" w:hAnsi="Inter" w:eastAsia="Inter" w:cs="Inter"/>
                <w:b w:val="0"/>
                <w:i w:val="0"/>
                <w:color w:val="1F2937"/>
                <w:sz w:val="20"/>
              </w:rPr>
              <w:t>250K–1M</w:t>
            </w:r>
          </w:p>
        </w:tc>
        <w:tc>
          <w:tcPr>
            <w:tcW w:type="dxa" w:w="3249"/>
          </w:tcPr>
          <w:p>
            <w:r/>
            <w:r>
              <w:rPr>
                <w:rFonts w:ascii="Inter" w:hAnsi="Inter" w:eastAsia="Inter" w:cs="Inter"/>
                <w:b w:val="0"/>
                <w:i w:val="0"/>
                <w:color w:val="1F2937"/>
                <w:sz w:val="20"/>
              </w:rPr>
              <w:t>35% of dimension score driven by participation rate</w:t>
            </w:r>
          </w:p>
        </w:tc>
      </w:tr>
      <w:tr>
        <w:tc>
          <w:tcPr>
            <w:tcW w:type="dxa" w:w="3249"/>
            <w:shd w:val="clear" w:color="auto" w:fill="EFF8F5"/>
          </w:tcPr>
          <w:p>
            <w:r/>
            <w:r>
              <w:rPr>
                <w:rFonts w:ascii="Inter" w:hAnsi="Inter" w:eastAsia="Inter" w:cs="Inter"/>
                <w:b w:val="0"/>
                <w:i w:val="0"/>
                <w:color w:val="1F2937"/>
                <w:sz w:val="20"/>
              </w:rPr>
              <w:t>Medium (Tier 3)</w:t>
            </w:r>
          </w:p>
        </w:tc>
        <w:tc>
          <w:tcPr>
            <w:tcW w:type="dxa" w:w="3249"/>
            <w:shd w:val="clear" w:color="auto" w:fill="EFF8F5"/>
          </w:tcPr>
          <w:p>
            <w:r/>
            <w:r>
              <w:rPr>
                <w:rFonts w:ascii="Inter" w:hAnsi="Inter" w:eastAsia="Inter" w:cs="Inter"/>
                <w:b w:val="0"/>
                <w:i w:val="0"/>
                <w:color w:val="1F2937"/>
                <w:sz w:val="20"/>
              </w:rPr>
              <w:t>50K–250K</w:t>
            </w:r>
          </w:p>
        </w:tc>
        <w:tc>
          <w:tcPr>
            <w:tcW w:type="dxa" w:w="3249"/>
            <w:shd w:val="clear" w:color="auto" w:fill="EFF8F5"/>
          </w:tcPr>
          <w:p>
            <w:r/>
            <w:r>
              <w:rPr>
                <w:rFonts w:ascii="Inter" w:hAnsi="Inter" w:eastAsia="Inter" w:cs="Inter"/>
                <w:b w:val="0"/>
                <w:i w:val="0"/>
                <w:color w:val="1F2937"/>
                <w:sz w:val="20"/>
              </w:rPr>
              <w:t>50% of dimension score driven by participation rate</w:t>
            </w:r>
          </w:p>
        </w:tc>
      </w:tr>
      <w:tr>
        <w:tc>
          <w:tcPr>
            <w:tcW w:type="dxa" w:w="3249"/>
          </w:tcPr>
          <w:p>
            <w:r/>
            <w:r>
              <w:rPr>
                <w:rFonts w:ascii="Inter" w:hAnsi="Inter" w:eastAsia="Inter" w:cs="Inter"/>
                <w:b w:val="0"/>
                <w:i w:val="0"/>
                <w:color w:val="1F2937"/>
                <w:sz w:val="20"/>
              </w:rPr>
              <w:t>Small (Tier 4)</w:t>
            </w:r>
          </w:p>
        </w:tc>
        <w:tc>
          <w:tcPr>
            <w:tcW w:type="dxa" w:w="3249"/>
          </w:tcPr>
          <w:p>
            <w:r/>
            <w:r>
              <w:rPr>
                <w:rFonts w:ascii="Inter" w:hAnsi="Inter" w:eastAsia="Inter" w:cs="Inter"/>
                <w:b w:val="0"/>
                <w:i w:val="0"/>
                <w:color w:val="1F2937"/>
                <w:sz w:val="20"/>
              </w:rPr>
              <w:t>&lt;50K</w:t>
            </w:r>
          </w:p>
        </w:tc>
        <w:tc>
          <w:tcPr>
            <w:tcW w:type="dxa" w:w="3249"/>
          </w:tcPr>
          <w:p>
            <w:r/>
            <w:r>
              <w:rPr>
                <w:rFonts w:ascii="Inter" w:hAnsi="Inter" w:eastAsia="Inter" w:cs="Inter"/>
                <w:b w:val="0"/>
                <w:i w:val="0"/>
                <w:color w:val="1F2937"/>
                <w:sz w:val="20"/>
              </w:rPr>
              <w:t>60% of dimension score driven by participation rate</w:t>
            </w:r>
          </w:p>
        </w:tc>
      </w:tr>
    </w:tbl>
    <w:p>
      <w:pPr>
        <w:spacing w:after="120"/>
      </w:pPr>
      <w:r>
        <w:rPr>
          <w:rFonts w:ascii="Inter" w:hAnsi="Inter" w:eastAsia="Inter" w:cs="Inter"/>
          <w:b w:val="0"/>
          <w:i w:val="0"/>
          <w:color w:val="1F2937"/>
          <w:sz w:val="8"/>
        </w:rPr>
        <w:t xml:space="preserve"> </w:t>
      </w:r>
    </w:p>
    <w:p>
      <w:pPr>
        <w:spacing w:before="360" w:after="120"/>
      </w:pPr>
      <w:r>
        <w:rPr>
          <w:rFonts w:ascii="Inter" w:hAnsi="Inter" w:eastAsia="Inter" w:cs="Inter"/>
          <w:b/>
          <w:i w:val="0"/>
          <w:color w:val="1B3A2F"/>
          <w:sz w:val="30"/>
        </w:rPr>
        <w:t>8. Data confidence and display rules</w:t>
      </w:r>
    </w:p>
    <w:p>
      <w:pPr>
        <w:spacing w:after="120"/>
      </w:pPr>
      <w:r>
        <w:rPr>
          <w:rFonts w:ascii="Inter" w:hAnsi="Inter" w:eastAsia="Inter" w:cs="Inter"/>
          <w:b w:val="0"/>
          <w:i w:val="0"/>
          <w:color w:val="1F2937"/>
          <w:sz w:val="22"/>
        </w:rPr>
        <w:t>Every Pulse score carries a data-confidence flag based on indicator coverage, freshness, and source quality:</w:t>
      </w:r>
    </w:p>
    <w:tbl>
      <w:tblPr>
        <w:tblW w:type="auto" w:w="0"/>
        <w:jc w:val="center"/>
        <w:tblLook w:firstColumn="1" w:firstRow="1" w:lastColumn="0" w:lastRow="0" w:noHBand="0" w:noVBand="1" w:val="04A0"/>
      </w:tblPr>
      <w:tblGrid>
        <w:gridCol w:w="3249"/>
        <w:gridCol w:w="3249"/>
        <w:gridCol w:w="3249"/>
      </w:tblGrid>
      <w:tr>
        <w:tc>
          <w:tcPr>
            <w:tcW w:type="dxa" w:w="3249"/>
            <w:shd w:val="clear" w:color="auto" w:fill="1B3A2F"/>
          </w:tcPr>
          <w:p>
            <w:r/>
            <w:r>
              <w:rPr>
                <w:rFonts w:ascii="Inter" w:hAnsi="Inter" w:eastAsia="Inter" w:cs="Inter"/>
                <w:b/>
                <w:i w:val="0"/>
                <w:color w:val="FFC222"/>
                <w:sz w:val="20"/>
              </w:rPr>
              <w:t>Flag</w:t>
            </w:r>
          </w:p>
        </w:tc>
        <w:tc>
          <w:tcPr>
            <w:tcW w:type="dxa" w:w="3249"/>
            <w:shd w:val="clear" w:color="auto" w:fill="1B3A2F"/>
          </w:tcPr>
          <w:p>
            <w:r/>
            <w:r>
              <w:rPr>
                <w:rFonts w:ascii="Inter" w:hAnsi="Inter" w:eastAsia="Inter" w:cs="Inter"/>
                <w:b/>
                <w:i w:val="0"/>
                <w:color w:val="FFC222"/>
                <w:sz w:val="20"/>
              </w:rPr>
              <w:t>Threshold</w:t>
            </w:r>
          </w:p>
        </w:tc>
        <w:tc>
          <w:tcPr>
            <w:tcW w:type="dxa" w:w="3249"/>
            <w:shd w:val="clear" w:color="auto" w:fill="1B3A2F"/>
          </w:tcPr>
          <w:p>
            <w:r/>
            <w:r>
              <w:rPr>
                <w:rFonts w:ascii="Inter" w:hAnsi="Inter" w:eastAsia="Inter" w:cs="Inter"/>
                <w:b/>
                <w:i w:val="0"/>
                <w:color w:val="FFC222"/>
                <w:sz w:val="20"/>
              </w:rPr>
              <w:t>Display behaviour</w:t>
            </w:r>
          </w:p>
        </w:tc>
      </w:tr>
      <w:tr>
        <w:tc>
          <w:tcPr>
            <w:tcW w:type="dxa" w:w="3249"/>
            <w:shd w:val="clear" w:color="auto" w:fill="EFF8F5"/>
          </w:tcPr>
          <w:p>
            <w:r/>
            <w:r>
              <w:rPr>
                <w:rFonts w:ascii="Inter" w:hAnsi="Inter" w:eastAsia="Inter" w:cs="Inter"/>
                <w:b w:val="0"/>
                <w:i w:val="0"/>
                <w:color w:val="1F2937"/>
                <w:sz w:val="20"/>
              </w:rPr>
              <w:t>✅ High</w:t>
            </w:r>
          </w:p>
        </w:tc>
        <w:tc>
          <w:tcPr>
            <w:tcW w:type="dxa" w:w="3249"/>
            <w:shd w:val="clear" w:color="auto" w:fill="EFF8F5"/>
          </w:tcPr>
          <w:p>
            <w:r/>
            <w:r>
              <w:rPr>
                <w:rFonts w:ascii="Inter" w:hAnsi="Inter" w:eastAsia="Inter" w:cs="Inter"/>
                <w:b w:val="0"/>
                <w:i w:val="0"/>
                <w:color w:val="1F2937"/>
                <w:sz w:val="20"/>
              </w:rPr>
              <w:t>≥7 of 9 dimensions populated, each with ≥3 valid recent indicators</w:t>
            </w:r>
          </w:p>
        </w:tc>
        <w:tc>
          <w:tcPr>
            <w:tcW w:type="dxa" w:w="3249"/>
            <w:shd w:val="clear" w:color="auto" w:fill="EFF8F5"/>
          </w:tcPr>
          <w:p>
            <w:r/>
            <w:r>
              <w:rPr>
                <w:rFonts w:ascii="Inter" w:hAnsi="Inter" w:eastAsia="Inter" w:cs="Inter"/>
                <w:b w:val="0"/>
                <w:i w:val="0"/>
                <w:color w:val="1F2937"/>
                <w:sz w:val="20"/>
              </w:rPr>
              <w:t>Pulse displayed normally</w:t>
            </w:r>
          </w:p>
        </w:tc>
      </w:tr>
      <w:tr>
        <w:tc>
          <w:tcPr>
            <w:tcW w:type="dxa" w:w="3249"/>
          </w:tcPr>
          <w:p>
            <w:r/>
            <w:r>
              <w:rPr>
                <w:rFonts w:ascii="Inter" w:hAnsi="Inter" w:eastAsia="Inter" w:cs="Inter"/>
                <w:b w:val="0"/>
                <w:i w:val="0"/>
                <w:color w:val="1F2937"/>
                <w:sz w:val="20"/>
              </w:rPr>
              <w:t>⚠️ Medium</w:t>
            </w:r>
          </w:p>
        </w:tc>
        <w:tc>
          <w:tcPr>
            <w:tcW w:type="dxa" w:w="3249"/>
          </w:tcPr>
          <w:p>
            <w:r/>
            <w:r>
              <w:rPr>
                <w:rFonts w:ascii="Inter" w:hAnsi="Inter" w:eastAsia="Inter" w:cs="Inter"/>
                <w:b w:val="0"/>
                <w:i w:val="0"/>
                <w:color w:val="1F2937"/>
                <w:sz w:val="20"/>
              </w:rPr>
              <w:t>5–6 dimensions populated, OR some dimensions on &lt;3 indicators, OR data &gt;3 years old in any dimension</w:t>
            </w:r>
          </w:p>
        </w:tc>
        <w:tc>
          <w:tcPr>
            <w:tcW w:type="dxa" w:w="3249"/>
          </w:tcPr>
          <w:p>
            <w:r/>
            <w:r>
              <w:rPr>
                <w:rFonts w:ascii="Inter" w:hAnsi="Inter" w:eastAsia="Inter" w:cs="Inter"/>
                <w:b w:val="0"/>
                <w:i w:val="0"/>
                <w:color w:val="1F2937"/>
                <w:sz w:val="20"/>
              </w:rPr>
              <w:t>Pulse displayed with a confidence chip + tooltip explaining what's missing</w:t>
            </w:r>
          </w:p>
        </w:tc>
      </w:tr>
      <w:tr>
        <w:tc>
          <w:tcPr>
            <w:tcW w:type="dxa" w:w="3249"/>
            <w:shd w:val="clear" w:color="auto" w:fill="EFF8F5"/>
          </w:tcPr>
          <w:p>
            <w:r/>
            <w:r>
              <w:rPr>
                <w:rFonts w:ascii="Inter" w:hAnsi="Inter" w:eastAsia="Inter" w:cs="Inter"/>
                <w:b w:val="0"/>
                <w:i w:val="0"/>
                <w:color w:val="1F2937"/>
                <w:sz w:val="20"/>
              </w:rPr>
              <w:t>❌ Low</w:t>
            </w:r>
          </w:p>
        </w:tc>
        <w:tc>
          <w:tcPr>
            <w:tcW w:type="dxa" w:w="3249"/>
            <w:shd w:val="clear" w:color="auto" w:fill="EFF8F5"/>
          </w:tcPr>
          <w:p>
            <w:r/>
            <w:r>
              <w:rPr>
                <w:rFonts w:ascii="Inter" w:hAnsi="Inter" w:eastAsia="Inter" w:cs="Inter"/>
                <w:b w:val="0"/>
                <w:i w:val="0"/>
                <w:color w:val="1F2937"/>
                <w:sz w:val="20"/>
              </w:rPr>
              <w:t>≤4 dimensions populated, OR systemic data gaps</w:t>
            </w:r>
          </w:p>
        </w:tc>
        <w:tc>
          <w:tcPr>
            <w:tcW w:type="dxa" w:w="3249"/>
            <w:shd w:val="clear" w:color="auto" w:fill="EFF8F5"/>
          </w:tcPr>
          <w:p>
            <w:r/>
            <w:r>
              <w:rPr>
                <w:rFonts w:ascii="Inter" w:hAnsi="Inter" w:eastAsia="Inter" w:cs="Inter"/>
                <w:b w:val="0"/>
                <w:i w:val="0"/>
                <w:color w:val="1F2937"/>
                <w:sz w:val="20"/>
              </w:rPr>
              <w:t>Pulse hidden; placeholder reads 'Insufficient data — see methodology page'</w:t>
            </w:r>
          </w:p>
        </w:tc>
      </w:tr>
    </w:tbl>
    <w:p>
      <w:pPr>
        <w:spacing w:after="120"/>
      </w:pPr>
      <w:r>
        <w:rPr>
          <w:rFonts w:ascii="Inter" w:hAnsi="Inter" w:eastAsia="Inter" w:cs="Inter"/>
          <w:b w:val="0"/>
          <w:i w:val="0"/>
          <w:color w:val="1F2937"/>
          <w:sz w:val="8"/>
        </w:rPr>
        <w:t xml:space="preserve"> </w:t>
      </w:r>
    </w:p>
    <w:tbl>
      <w:tblPr>
        <w:tblW w:type="auto" w:w="0"/>
        <w:jc w:val="center"/>
        <w:tblLook w:firstColumn="1" w:firstRow="1" w:lastColumn="0" w:lastRow="0" w:noHBand="0" w:noVBand="1" w:val="04A0"/>
      </w:tblPr>
      <w:tblGrid>
        <w:gridCol w:w="9746"/>
      </w:tblGrid>
      <w:tr>
        <w:tc>
          <w:tcPr>
            <w:tcW w:type="dxa" w:w="9746"/>
            <w:shd w:val="clear" w:color="auto" w:fill="FEE2E2"/>
          </w:tcPr>
          <w:p>
            <w:r/>
            <w:r>
              <w:rPr>
                <w:rFonts w:ascii="Inter" w:hAnsi="Inter" w:eastAsia="Inter" w:cs="Inter"/>
                <w:b/>
                <w:i w:val="0"/>
                <w:color w:val="C8102E"/>
                <w:sz w:val="18"/>
              </w:rPr>
              <w:t>⚠ LIMITATION — CONFIDENCE FLAGS ARE HEURISTIC, NOT STATISTICAL</w:t>
            </w:r>
          </w:p>
          <w:p>
            <w:r>
              <w:rPr>
                <w:rFonts w:ascii="Inter" w:hAnsi="Inter" w:eastAsia="Inter" w:cs="Inter"/>
                <w:b w:val="0"/>
                <w:i w:val="0"/>
                <w:color w:val="1F2937"/>
                <w:sz w:val="20"/>
              </w:rPr>
              <w:t>The thresholds above are reasonable but were chosen by the founder, not derived from a statistical analysis of how much measurement error each scenario actually introduces. JRC's COIN methodology recommends deriving these thresholds from explicit uncertainty quantification (Saisana et al. 2005). Queued for v0.2.</w:t>
            </w:r>
          </w:p>
        </w:tc>
      </w:tr>
    </w:tbl>
    <w:p>
      <w:pPr>
        <w:spacing w:before="360" w:after="120"/>
      </w:pPr>
      <w:r>
        <w:rPr>
          <w:rFonts w:ascii="Inter" w:hAnsi="Inter" w:eastAsia="Inter" w:cs="Inter"/>
          <w:b/>
          <w:i w:val="0"/>
          <w:color w:val="1B3A2F"/>
          <w:sz w:val="30"/>
        </w:rPr>
        <w:t>9. Acknowledged limitations and the v0.2 roadmap</w:t>
      </w:r>
    </w:p>
    <w:p>
      <w:pPr>
        <w:spacing w:after="120"/>
      </w:pPr>
      <w:r>
        <w:rPr>
          <w:rFonts w:ascii="Inter" w:hAnsi="Inter" w:eastAsia="Inter" w:cs="Inter"/>
          <w:b w:val="0"/>
          <w:i/>
          <w:color w:val="4B5563"/>
          <w:sz w:val="22"/>
        </w:rPr>
        <w:t>We summarise the limitations called out in the boxes above, plus several that did not warrant inline call-outs:</w:t>
      </w:r>
    </w:p>
    <w:p>
      <w:pPr>
        <w:pStyle w:val="ListBullet"/>
        <w:spacing w:after="60"/>
        <w:ind w:left="283"/>
      </w:pPr>
      <w:r>
        <w:rPr>
          <w:rFonts w:ascii="Inter" w:hAnsi="Inter" w:eastAsia="Inter" w:cs="Inter"/>
          <w:b/>
          <w:i w:val="0"/>
          <w:color w:val="1F2937"/>
          <w:sz w:val="22"/>
        </w:rPr>
        <w:t>Indicator selection</w:t>
      </w:r>
      <w:r>
        <w:rPr>
          <w:rFonts w:ascii="Inter" w:hAnsi="Inter" w:eastAsia="Inter" w:cs="Inter"/>
          <w:b w:val="0"/>
          <w:i w:val="0"/>
          <w:color w:val="1F2937"/>
          <w:sz w:val="22"/>
        </w:rPr>
        <w:t xml:space="preserve"> — currently founder-judgement. v0.2 will introduce blind scoring against documented criteria.</w:t>
      </w:r>
    </w:p>
    <w:p>
      <w:pPr>
        <w:pStyle w:val="ListBullet"/>
        <w:spacing w:after="60"/>
        <w:ind w:left="283"/>
      </w:pPr>
      <w:r>
        <w:rPr>
          <w:rFonts w:ascii="Inter" w:hAnsi="Inter" w:eastAsia="Inter" w:cs="Inter"/>
          <w:b/>
          <w:i w:val="0"/>
          <w:color w:val="1F2937"/>
          <w:sz w:val="22"/>
        </w:rPr>
        <w:t>Dimension framework</w:t>
      </w:r>
      <w:r>
        <w:rPr>
          <w:rFonts w:ascii="Inter" w:hAnsi="Inter" w:eastAsia="Inter" w:cs="Inter"/>
          <w:b w:val="0"/>
          <w:i w:val="0"/>
          <w:color w:val="1F2937"/>
          <w:sz w:val="22"/>
        </w:rPr>
        <w:t xml:space="preserve"> — nine dimensions chosen post-hoc against SDGs. v0.2 should derive (or empirically validate) the dimension structure via factor analysis or expert Delphi.</w:t>
      </w:r>
    </w:p>
    <w:p>
      <w:pPr>
        <w:pStyle w:val="ListBullet"/>
        <w:spacing w:after="60"/>
        <w:ind w:left="283"/>
      </w:pPr>
      <w:r>
        <w:rPr>
          <w:rFonts w:ascii="Inter" w:hAnsi="Inter" w:eastAsia="Inter" w:cs="Inter"/>
          <w:b/>
          <w:i w:val="0"/>
          <w:color w:val="1F2937"/>
          <w:sz w:val="22"/>
        </w:rPr>
        <w:t>Equal weighting</w:t>
      </w:r>
      <w:r>
        <w:rPr>
          <w:rFonts w:ascii="Inter" w:hAnsi="Inter" w:eastAsia="Inter" w:cs="Inter"/>
          <w:b w:val="0"/>
          <w:i w:val="0"/>
          <w:color w:val="1F2937"/>
          <w:sz w:val="22"/>
        </w:rPr>
        <w:t xml:space="preserve"> — defensible default but not theoretically derived. v0.2 will run weight-perturbation Monte Carlo to test rank stability.</w:t>
      </w:r>
    </w:p>
    <w:p>
      <w:pPr>
        <w:pStyle w:val="ListBullet"/>
        <w:spacing w:after="60"/>
        <w:ind w:left="283"/>
      </w:pPr>
      <w:r>
        <w:rPr>
          <w:rFonts w:ascii="Inter" w:hAnsi="Inter" w:eastAsia="Inter" w:cs="Inter"/>
          <w:b/>
          <w:i w:val="0"/>
          <w:color w:val="1F2937"/>
          <w:sz w:val="22"/>
        </w:rPr>
        <w:t>Linear aggregation</w:t>
      </w:r>
      <w:r>
        <w:rPr>
          <w:rFonts w:ascii="Inter" w:hAnsi="Inter" w:eastAsia="Inter" w:cs="Inter"/>
          <w:b w:val="0"/>
          <w:i w:val="0"/>
          <w:color w:val="1F2937"/>
          <w:sz w:val="22"/>
        </w:rPr>
        <w:t xml:space="preserve"> — fully compensatory. v0.2 will compare with geometric aggregation and non-compensatory alternatives (e.g. Mazziotta-Pareto Index).</w:t>
      </w:r>
    </w:p>
    <w:p>
      <w:pPr>
        <w:pStyle w:val="ListBullet"/>
        <w:spacing w:after="60"/>
        <w:ind w:left="283"/>
      </w:pPr>
      <w:r>
        <w:rPr>
          <w:rFonts w:ascii="Inter" w:hAnsi="Inter" w:eastAsia="Inter" w:cs="Inter"/>
          <w:b/>
          <w:i w:val="0"/>
          <w:color w:val="1F2937"/>
          <w:sz w:val="22"/>
        </w:rPr>
        <w:t>Normalisation method</w:t>
      </w:r>
      <w:r>
        <w:rPr>
          <w:rFonts w:ascii="Inter" w:hAnsi="Inter" w:eastAsia="Inter" w:cs="Inter"/>
          <w:b w:val="0"/>
          <w:i w:val="0"/>
          <w:color w:val="1F2937"/>
          <w:sz w:val="22"/>
        </w:rPr>
        <w:t xml:space="preserve"> — z-score makes scores cohort-relative. v0.2 will compare with min-max and distance-from-frontier methods.</w:t>
      </w:r>
    </w:p>
    <w:p>
      <w:pPr>
        <w:pStyle w:val="ListBullet"/>
        <w:spacing w:after="60"/>
        <w:ind w:left="283"/>
      </w:pPr>
      <w:r>
        <w:rPr>
          <w:rFonts w:ascii="Inter" w:hAnsi="Inter" w:eastAsia="Inter" w:cs="Inter"/>
          <w:b/>
          <w:i w:val="0"/>
          <w:color w:val="1F2937"/>
          <w:sz w:val="22"/>
        </w:rPr>
        <w:t>Sensitivity analysis</w:t>
      </w:r>
      <w:r>
        <w:rPr>
          <w:rFonts w:ascii="Inter" w:hAnsi="Inter" w:eastAsia="Inter" w:cs="Inter"/>
          <w:b w:val="0"/>
          <w:i w:val="0"/>
          <w:color w:val="1F2937"/>
          <w:sz w:val="22"/>
        </w:rPr>
        <w:t xml:space="preserve"> — not yet performed. v0.2 will run full Monte Carlo per OECD-JRC Handbook §6, including weight, normalisation, and indicator-set perturbation.</w:t>
      </w:r>
    </w:p>
    <w:p>
      <w:pPr>
        <w:pStyle w:val="ListBullet"/>
        <w:spacing w:after="60"/>
        <w:ind w:left="283"/>
      </w:pPr>
      <w:r>
        <w:rPr>
          <w:rFonts w:ascii="Inter" w:hAnsi="Inter" w:eastAsia="Inter" w:cs="Inter"/>
          <w:b/>
          <w:i w:val="0"/>
          <w:color w:val="1F2937"/>
          <w:sz w:val="22"/>
        </w:rPr>
        <w:t>Uncertainty quantification</w:t>
      </w:r>
      <w:r>
        <w:rPr>
          <w:rFonts w:ascii="Inter" w:hAnsi="Inter" w:eastAsia="Inter" w:cs="Inter"/>
          <w:b w:val="0"/>
          <w:i w:val="0"/>
          <w:color w:val="1F2937"/>
          <w:sz w:val="22"/>
        </w:rPr>
        <w:t xml:space="preserve"> — current scores are point estimates. v0.2 will produce 95% confidence intervals.</w:t>
      </w:r>
    </w:p>
    <w:p>
      <w:pPr>
        <w:pStyle w:val="ListBullet"/>
        <w:spacing w:after="60"/>
        <w:ind w:left="283"/>
      </w:pPr>
      <w:r>
        <w:rPr>
          <w:rFonts w:ascii="Inter" w:hAnsi="Inter" w:eastAsia="Inter" w:cs="Inter"/>
          <w:b/>
          <w:i w:val="0"/>
          <w:color w:val="1F2937"/>
          <w:sz w:val="22"/>
        </w:rPr>
        <w:t>Sparse data cities</w:t>
      </w:r>
      <w:r>
        <w:rPr>
          <w:rFonts w:ascii="Inter" w:hAnsi="Inter" w:eastAsia="Inter" w:cs="Inter"/>
          <w:b w:val="0"/>
          <w:i w:val="0"/>
          <w:color w:val="1F2937"/>
          <w:sz w:val="22"/>
        </w:rPr>
        <w:t xml:space="preserve"> — some cities have only ~50 of 350+ indicators populated. The Medium / Low confidence flags help but the underlying issue is structural to Eurostat. v0.2 will assess imputation methods (or formalise the no-impute stance).</w:t>
      </w:r>
    </w:p>
    <w:p>
      <w:pPr>
        <w:pStyle w:val="ListBullet"/>
        <w:spacing w:after="60"/>
        <w:ind w:left="283"/>
      </w:pPr>
      <w:r>
        <w:rPr>
          <w:rFonts w:ascii="Inter" w:hAnsi="Inter" w:eastAsia="Inter" w:cs="Inter"/>
          <w:b/>
          <w:i w:val="0"/>
          <w:color w:val="1F2937"/>
          <w:sz w:val="22"/>
        </w:rPr>
        <w:t>Civic Participation dimension</w:t>
      </w:r>
      <w:r>
        <w:rPr>
          <w:rFonts w:ascii="Inter" w:hAnsi="Inter" w:eastAsia="Inter" w:cs="Inter"/>
          <w:b w:val="0"/>
          <w:i w:val="0"/>
          <w:color w:val="1F2937"/>
          <w:sz w:val="22"/>
        </w:rPr>
        <w:t xml:space="preserve"> — heavily dependent on the proprietary Listening Score, which exists only for cities active on Cittopia (small sample). For most cities the dimension currently uses voter turnout alone, which is weak. v0.2 will integrate civic-association density (where available) and trust survey proxies.</w:t>
      </w:r>
    </w:p>
    <w:p>
      <w:pPr>
        <w:pStyle w:val="ListBullet"/>
        <w:spacing w:after="60"/>
        <w:ind w:left="283"/>
      </w:pPr>
      <w:r>
        <w:rPr>
          <w:rFonts w:ascii="Inter" w:hAnsi="Inter" w:eastAsia="Inter" w:cs="Inter"/>
          <w:b/>
          <w:i w:val="0"/>
          <w:color w:val="1F2937"/>
          <w:sz w:val="22"/>
        </w:rPr>
        <w:t>Cross-tier comparison</w:t>
      </w:r>
      <w:r>
        <w:rPr>
          <w:rFonts w:ascii="Inter" w:hAnsi="Inter" w:eastAsia="Inter" w:cs="Inter"/>
          <w:b w:val="0"/>
          <w:i w:val="0"/>
          <w:color w:val="1F2937"/>
          <w:sz w:val="22"/>
        </w:rPr>
        <w:t xml:space="preserve"> — the methodology for comparing a city Pulse to a regional Pulse to a district Pulse is not formally specified. v0.2 will document scaling rules.</w:t>
      </w:r>
    </w:p>
    <w:p>
      <w:pPr>
        <w:pStyle w:val="ListBullet"/>
        <w:spacing w:after="60"/>
        <w:ind w:left="283"/>
      </w:pPr>
      <w:r>
        <w:rPr>
          <w:rFonts w:ascii="Inter" w:hAnsi="Inter" w:eastAsia="Inter" w:cs="Inter"/>
          <w:b/>
          <w:i w:val="0"/>
          <w:color w:val="1F2937"/>
          <w:sz w:val="22"/>
        </w:rPr>
        <w:t>No formal external review</w:t>
      </w:r>
      <w:r>
        <w:rPr>
          <w:rFonts w:ascii="Inter" w:hAnsi="Inter" w:eastAsia="Inter" w:cs="Inter"/>
          <w:b w:val="0"/>
          <w:i w:val="0"/>
          <w:color w:val="1F2937"/>
          <w:sz w:val="22"/>
        </w:rPr>
        <w:t xml:space="preserve"> — this document is the first step of that review.</w:t>
      </w:r>
    </w:p>
    <w:p>
      <w:pPr>
        <w:spacing w:before="360" w:after="120"/>
      </w:pPr>
      <w:r>
        <w:rPr>
          <w:rFonts w:ascii="Inter" w:hAnsi="Inter" w:eastAsia="Inter" w:cs="Inter"/>
          <w:b/>
          <w:i w:val="0"/>
          <w:color w:val="1B3A2F"/>
          <w:sz w:val="30"/>
        </w:rPr>
        <w:t>10. Validation pathway — what we are seeking</w:t>
      </w:r>
    </w:p>
    <w:p>
      <w:pPr>
        <w:spacing w:after="120"/>
      </w:pPr>
      <w:r>
        <w:rPr>
          <w:rFonts w:ascii="Inter" w:hAnsi="Inter" w:eastAsia="Inter" w:cs="Inter"/>
          <w:b w:val="0"/>
          <w:i w:val="0"/>
          <w:color w:val="1F2937"/>
          <w:sz w:val="22"/>
        </w:rPr>
        <w:t>We are pursuing two complementary validation tracks in parallel:</w:t>
      </w:r>
    </w:p>
    <w:p>
      <w:pPr>
        <w:spacing w:before="240" w:after="80"/>
      </w:pPr>
      <w:r>
        <w:rPr>
          <w:rFonts w:ascii="Inter" w:hAnsi="Inter" w:eastAsia="Inter" w:cs="Inter"/>
          <w:b/>
          <w:i w:val="0"/>
          <w:color w:val="2CA58D"/>
          <w:sz w:val="24"/>
        </w:rPr>
        <w:t>10.1 Statistical Audit by JRC Ispra (COIN team)</w:t>
      </w:r>
    </w:p>
    <w:p>
      <w:pPr>
        <w:spacing w:after="120"/>
      </w:pPr>
      <w:r>
        <w:rPr>
          <w:rFonts w:ascii="Inter" w:hAnsi="Inter" w:eastAsia="Inter" w:cs="Inter"/>
          <w:b w:val="0"/>
          <w:i w:val="0"/>
          <w:color w:val="1F2937"/>
          <w:sz w:val="22"/>
        </w:rPr>
        <w:t>We are submitting The Pulse for consideration for a JRC Statistical Audit, the same process applied to the EU Innovation Scoreboard, the Quality of Government Index, and other major EU composite indicators. The audit covers: theoretical framework, indicator selection, normalisation, weighting, aggregation, robustness (sensitivity + uncertainty), and statistical coherence (Cronbach's α, principal component analysis). The output is a public Audit Report citable as 'audited by JRC'.</w:t>
      </w:r>
    </w:p>
    <w:p>
      <w:pPr>
        <w:spacing w:before="240" w:after="80"/>
      </w:pPr>
      <w:r>
        <w:rPr>
          <w:rFonts w:ascii="Inter" w:hAnsi="Inter" w:eastAsia="Inter" w:cs="Inter"/>
          <w:b/>
          <w:i w:val="0"/>
          <w:color w:val="2CA58D"/>
          <w:sz w:val="24"/>
        </w:rPr>
        <w:t>10.2 Academic methodological partner</w:t>
      </w:r>
    </w:p>
    <w:p>
      <w:pPr>
        <w:spacing w:after="120"/>
      </w:pPr>
      <w:r>
        <w:rPr>
          <w:rFonts w:ascii="Inter" w:hAnsi="Inter" w:eastAsia="Inter" w:cs="Inter"/>
          <w:b w:val="0"/>
          <w:i w:val="0"/>
          <w:color w:val="1F2937"/>
          <w:sz w:val="22"/>
        </w:rPr>
        <w:t>We are seeking 1–2 academic partners with deep credibility in composite indicator methodology — ideally from the OECD-JRC Handbook author network (Saltelli, Nardo, Saisana, Becker) or directly affiliated with their current institutions. The partnership scope: a published methodology paper with the academic(s) as co-author(s), and an advisory role on the v0.2 methodology cycle.</w:t>
      </w:r>
    </w:p>
    <w:p>
      <w:pPr>
        <w:spacing w:before="240" w:after="80"/>
      </w:pPr>
      <w:r>
        <w:rPr>
          <w:rFonts w:ascii="Inter" w:hAnsi="Inter" w:eastAsia="Inter" w:cs="Inter"/>
          <w:b/>
          <w:i w:val="0"/>
          <w:color w:val="2CA58D"/>
          <w:sz w:val="24"/>
        </w:rPr>
        <w:t>10.3 Polish + EU institutional partners</w:t>
      </w:r>
    </w:p>
    <w:p>
      <w:pPr>
        <w:spacing w:after="120"/>
      </w:pPr>
      <w:r>
        <w:rPr>
          <w:rFonts w:ascii="Inter" w:hAnsi="Inter" w:eastAsia="Inter" w:cs="Inter"/>
          <w:b w:val="0"/>
          <w:i w:val="0"/>
          <w:color w:val="1F2937"/>
          <w:sz w:val="22"/>
        </w:rPr>
        <w:t>Separately, we are seeking institutional partners (marshal offices, city governments, EU networks) to validate The Pulse in the contexts where it claims to be useful. Cittopia uses these institutions' data; the partnerships would formalise a feedback loop on data quality, dimension selection, and intended use.</w:t>
      </w:r>
    </w:p>
    <w:p>
      <w:pPr>
        <w:spacing w:before="360" w:after="120"/>
      </w:pPr>
      <w:r>
        <w:rPr>
          <w:rFonts w:ascii="Inter" w:hAnsi="Inter" w:eastAsia="Inter" w:cs="Inter"/>
          <w:b/>
          <w:i w:val="0"/>
          <w:color w:val="1B3A2F"/>
          <w:sz w:val="30"/>
        </w:rPr>
        <w:t>11. References</w:t>
      </w:r>
    </w:p>
    <w:p>
      <w:pPr>
        <w:pStyle w:val="ListBullet"/>
        <w:spacing w:after="60"/>
        <w:ind w:left="170"/>
      </w:pPr>
      <w:r>
        <w:rPr>
          <w:rFonts w:ascii="Inter" w:hAnsi="Inter" w:eastAsia="Inter" w:cs="Inter"/>
          <w:b w:val="0"/>
          <w:i w:val="0"/>
          <w:color w:val="1F2937"/>
          <w:sz w:val="22"/>
        </w:rPr>
        <w:t xml:space="preserve">Munda, G. (2008). </w:t>
      </w:r>
      <w:r>
        <w:rPr>
          <w:rFonts w:ascii="Inter" w:hAnsi="Inter" w:eastAsia="Inter" w:cs="Inter"/>
          <w:b w:val="0"/>
          <w:i/>
          <w:color w:val="1F2937"/>
          <w:sz w:val="22"/>
        </w:rPr>
        <w:t>Social Multi-Criteria Evaluation for a Sustainable Economy</w:t>
      </w:r>
      <w:r>
        <w:rPr>
          <w:rFonts w:ascii="Inter" w:hAnsi="Inter" w:eastAsia="Inter" w:cs="Inter"/>
          <w:b w:val="0"/>
          <w:i w:val="0"/>
          <w:color w:val="1F2937"/>
          <w:sz w:val="22"/>
        </w:rPr>
        <w:t>. Springer.</w:t>
      </w:r>
    </w:p>
    <w:p>
      <w:pPr>
        <w:pStyle w:val="ListBullet"/>
        <w:spacing w:after="60"/>
        <w:ind w:left="170"/>
      </w:pPr>
      <w:r>
        <w:rPr>
          <w:rFonts w:ascii="Inter" w:hAnsi="Inter" w:eastAsia="Inter" w:cs="Inter"/>
          <w:b w:val="0"/>
          <w:i w:val="0"/>
          <w:color w:val="1F2937"/>
          <w:sz w:val="22"/>
        </w:rPr>
        <w:t xml:space="preserve">Nardo, M., Saisana, M., Saltelli, A., Tarantola, S., Hoffman, A., &amp; Giovannini, E. (2008). </w:t>
      </w:r>
      <w:r>
        <w:rPr>
          <w:rFonts w:ascii="Inter" w:hAnsi="Inter" w:eastAsia="Inter" w:cs="Inter"/>
          <w:b w:val="0"/>
          <w:i/>
          <w:color w:val="1F2937"/>
          <w:sz w:val="22"/>
        </w:rPr>
        <w:t>Handbook on Constructing Composite Indicators: Methodology and User Guide</w:t>
      </w:r>
      <w:r>
        <w:rPr>
          <w:rFonts w:ascii="Inter" w:hAnsi="Inter" w:eastAsia="Inter" w:cs="Inter"/>
          <w:b w:val="0"/>
          <w:i w:val="0"/>
          <w:color w:val="1F2937"/>
          <w:sz w:val="22"/>
        </w:rPr>
        <w:t>. OECD Publishing.</w:t>
      </w:r>
    </w:p>
    <w:p>
      <w:pPr>
        <w:pStyle w:val="ListBullet"/>
        <w:spacing w:after="60"/>
        <w:ind w:left="170"/>
      </w:pPr>
      <w:r>
        <w:rPr>
          <w:rFonts w:ascii="Inter" w:hAnsi="Inter" w:eastAsia="Inter" w:cs="Inter"/>
          <w:b w:val="0"/>
          <w:i w:val="0"/>
          <w:color w:val="1F2937"/>
          <w:sz w:val="22"/>
        </w:rPr>
        <w:t xml:space="preserve">OECD (2011). </w:t>
      </w:r>
      <w:r>
        <w:rPr>
          <w:rFonts w:ascii="Inter" w:hAnsi="Inter" w:eastAsia="Inter" w:cs="Inter"/>
          <w:b w:val="0"/>
          <w:i/>
          <w:color w:val="1F2937"/>
          <w:sz w:val="22"/>
        </w:rPr>
        <w:t>How's Life? Measuring Well-Being</w:t>
      </w:r>
      <w:r>
        <w:rPr>
          <w:rFonts w:ascii="Inter" w:hAnsi="Inter" w:eastAsia="Inter" w:cs="Inter"/>
          <w:b w:val="0"/>
          <w:i w:val="0"/>
          <w:color w:val="1F2937"/>
          <w:sz w:val="22"/>
        </w:rPr>
        <w:t>. OECD Better Life Initiative.</w:t>
      </w:r>
    </w:p>
    <w:p>
      <w:pPr>
        <w:pStyle w:val="ListBullet"/>
        <w:spacing w:after="60"/>
        <w:ind w:left="170"/>
      </w:pPr>
      <w:r>
        <w:rPr>
          <w:rFonts w:ascii="Inter" w:hAnsi="Inter" w:eastAsia="Inter" w:cs="Inter"/>
          <w:b w:val="0"/>
          <w:i w:val="0"/>
          <w:color w:val="1F2937"/>
          <w:sz w:val="22"/>
        </w:rPr>
        <w:t xml:space="preserve">Saisana, M., Saltelli, A., &amp; Tarantola, S. (2005). "Uncertainty and Sensitivity Analysis Techniques as Tools for the Quality Assessment of Composite Indicators." </w:t>
      </w:r>
      <w:r>
        <w:rPr>
          <w:rFonts w:ascii="Inter" w:hAnsi="Inter" w:eastAsia="Inter" w:cs="Inter"/>
          <w:b w:val="0"/>
          <w:i/>
          <w:color w:val="1F2937"/>
          <w:sz w:val="22"/>
        </w:rPr>
        <w:t>Journal of the Royal Statistical Society A</w:t>
      </w:r>
      <w:r>
        <w:rPr>
          <w:rFonts w:ascii="Inter" w:hAnsi="Inter" w:eastAsia="Inter" w:cs="Inter"/>
          <w:b w:val="0"/>
          <w:i w:val="0"/>
          <w:color w:val="1F2937"/>
          <w:sz w:val="22"/>
        </w:rPr>
        <w:t xml:space="preserve"> 168(2): 307–323.</w:t>
      </w:r>
    </w:p>
    <w:p>
      <w:pPr>
        <w:pStyle w:val="ListBullet"/>
        <w:spacing w:after="60"/>
        <w:ind w:left="170"/>
      </w:pPr>
      <w:r>
        <w:rPr>
          <w:rFonts w:ascii="Inter" w:hAnsi="Inter" w:eastAsia="Inter" w:cs="Inter"/>
          <w:b w:val="0"/>
          <w:i w:val="0"/>
          <w:color w:val="1F2937"/>
          <w:sz w:val="22"/>
        </w:rPr>
        <w:t xml:space="preserve">Saltelli, A. (2007). "Composite Indicators between Analysis and Advocacy." </w:t>
      </w:r>
      <w:r>
        <w:rPr>
          <w:rFonts w:ascii="Inter" w:hAnsi="Inter" w:eastAsia="Inter" w:cs="Inter"/>
          <w:b w:val="0"/>
          <w:i/>
          <w:color w:val="1F2937"/>
          <w:sz w:val="22"/>
        </w:rPr>
        <w:t>Social Indicators Research</w:t>
      </w:r>
      <w:r>
        <w:rPr>
          <w:rFonts w:ascii="Inter" w:hAnsi="Inter" w:eastAsia="Inter" w:cs="Inter"/>
          <w:b w:val="0"/>
          <w:i w:val="0"/>
          <w:color w:val="1F2937"/>
          <w:sz w:val="22"/>
        </w:rPr>
        <w:t xml:space="preserve"> 81(1): 65–77.</w:t>
      </w:r>
    </w:p>
    <w:p>
      <w:pPr>
        <w:pStyle w:val="ListBullet"/>
        <w:spacing w:after="60"/>
        <w:ind w:left="170"/>
      </w:pPr>
      <w:r>
        <w:rPr>
          <w:rFonts w:ascii="Inter" w:hAnsi="Inter" w:eastAsia="Inter" w:cs="Inter"/>
          <w:b w:val="0"/>
          <w:i w:val="0"/>
          <w:color w:val="1F2937"/>
          <w:sz w:val="22"/>
        </w:rPr>
        <w:t xml:space="preserve">Saltelli, A., &amp; Funtowicz, S. (2014). "When All Models Are Wrong." </w:t>
      </w:r>
      <w:r>
        <w:rPr>
          <w:rFonts w:ascii="Inter" w:hAnsi="Inter" w:eastAsia="Inter" w:cs="Inter"/>
          <w:b w:val="0"/>
          <w:i/>
          <w:color w:val="1F2937"/>
          <w:sz w:val="22"/>
        </w:rPr>
        <w:t>Issues in Science and Technology</w:t>
      </w:r>
      <w:r>
        <w:rPr>
          <w:rFonts w:ascii="Inter" w:hAnsi="Inter" w:eastAsia="Inter" w:cs="Inter"/>
          <w:b w:val="0"/>
          <w:i w:val="0"/>
          <w:color w:val="1F2937"/>
          <w:sz w:val="22"/>
        </w:rPr>
        <w:t xml:space="preserve"> 30(2): 79–85.</w:t>
      </w:r>
    </w:p>
    <w:p>
      <w:pPr>
        <w:pStyle w:val="ListBullet"/>
        <w:spacing w:after="60"/>
        <w:ind w:left="170"/>
      </w:pPr>
      <w:r>
        <w:rPr>
          <w:rFonts w:ascii="Inter" w:hAnsi="Inter" w:eastAsia="Inter" w:cs="Inter"/>
          <w:b w:val="0"/>
          <w:i w:val="0"/>
          <w:color w:val="1F2937"/>
          <w:sz w:val="22"/>
        </w:rPr>
        <w:t xml:space="preserve">Stiglitz, J., Sen, A., &amp; Fitoussi, J.-P. (2009). </w:t>
      </w:r>
      <w:r>
        <w:rPr>
          <w:rFonts w:ascii="Inter" w:hAnsi="Inter" w:eastAsia="Inter" w:cs="Inter"/>
          <w:b w:val="0"/>
          <w:i/>
          <w:color w:val="1F2937"/>
          <w:sz w:val="22"/>
        </w:rPr>
        <w:t>Report by the Commission on the Measurement of Economic Performance and Social Progress</w:t>
      </w:r>
      <w:r>
        <w:rPr>
          <w:rFonts w:ascii="Inter" w:hAnsi="Inter" w:eastAsia="Inter" w:cs="Inter"/>
          <w:b w:val="0"/>
          <w:i w:val="0"/>
          <w:color w:val="1F2937"/>
          <w:sz w:val="22"/>
        </w:rPr>
        <w:t>. Paris.</w:t>
      </w:r>
    </w:p>
    <w:p>
      <w:pPr>
        <w:pStyle w:val="ListBullet"/>
        <w:spacing w:after="60"/>
        <w:ind w:left="170"/>
      </w:pPr>
      <w:r>
        <w:rPr>
          <w:rFonts w:ascii="Inter" w:hAnsi="Inter" w:eastAsia="Inter" w:cs="Inter"/>
          <w:b w:val="0"/>
          <w:i w:val="0"/>
          <w:color w:val="1F2937"/>
          <w:sz w:val="22"/>
        </w:rPr>
        <w:t xml:space="preserve">European Commission (2003/2018). </w:t>
      </w:r>
      <w:r>
        <w:rPr>
          <w:rFonts w:ascii="Inter" w:hAnsi="Inter" w:eastAsia="Inter" w:cs="Inter"/>
          <w:b w:val="0"/>
          <w:i/>
          <w:color w:val="1F2937"/>
          <w:sz w:val="22"/>
        </w:rPr>
        <w:t>Urban Audit: Methodological Handbook</w:t>
      </w:r>
      <w:r>
        <w:rPr>
          <w:rFonts w:ascii="Inter" w:hAnsi="Inter" w:eastAsia="Inter" w:cs="Inter"/>
          <w:b w:val="0"/>
          <w:i w:val="0"/>
          <w:color w:val="1F2937"/>
          <w:sz w:val="22"/>
        </w:rPr>
        <w:t>. Eurostat.</w:t>
      </w:r>
    </w:p>
    <w:p>
      <w:pPr>
        <w:spacing w:before="360" w:after="120"/>
      </w:pPr>
      <w:r>
        <w:rPr>
          <w:rFonts w:ascii="Inter" w:hAnsi="Inter" w:eastAsia="Inter" w:cs="Inter"/>
          <w:b/>
          <w:i w:val="0"/>
          <w:color w:val="1B3A2F"/>
          <w:sz w:val="30"/>
        </w:rPr>
        <w:t>Appendix A — invitation to comment</w:t>
      </w:r>
    </w:p>
    <w:p>
      <w:pPr>
        <w:spacing w:after="120"/>
      </w:pPr>
      <w:r>
        <w:rPr>
          <w:rFonts w:ascii="Inter" w:hAnsi="Inter" w:eastAsia="Inter" w:cs="Inter"/>
          <w:b w:val="0"/>
          <w:i w:val="0"/>
          <w:color w:val="1F2937"/>
          <w:sz w:val="22"/>
        </w:rPr>
        <w:t>This document is a working draft. We welcome critique. Substantive methodology comments — or simple corrections to references — are most welcome at tunc@cittopia.com or via the methodology contact form at cittopia.com/methodology.</w:t>
      </w:r>
    </w:p>
    <w:p>
      <w:pPr>
        <w:spacing w:after="120"/>
      </w:pPr>
      <w:r>
        <w:rPr>
          <w:rFonts w:ascii="Inter" w:hAnsi="Inter" w:eastAsia="Inter" w:cs="Inter"/>
          <w:b w:val="0"/>
          <w:i/>
          <w:color w:val="4B5563"/>
          <w:sz w:val="22"/>
        </w:rPr>
        <w:t>If you are reading this in the course of considering an academic partnership or formal audit: thank you. We have tried to be honest about what The Pulse is and what it is not. We would rather hear that the limitations are deeper than we acknowledged than that the methodology is fine when it isn't.</w:t>
      </w:r>
    </w:p>
    <w:p>
      <w:pPr>
        <w:spacing w:after="240"/>
        <w:jc w:val="center"/>
      </w:pPr>
      <w:r>
        <w:rPr>
          <w:rFonts w:ascii="Inter" w:hAnsi="Inter" w:eastAsia="Inter" w:cs="Inter"/>
          <w:b w:val="0"/>
          <w:i w:val="0"/>
          <w:color w:val="9CA3AF"/>
          <w:sz w:val="20"/>
        </w:rPr>
        <w:t>────────────────────────────────────────────────────────────</w:t>
      </w:r>
    </w:p>
    <w:p>
      <w:pPr>
        <w:spacing w:after="120"/>
        <w:jc w:val="center"/>
      </w:pPr>
      <w:r>
        <w:rPr>
          <w:rFonts w:ascii="Inter" w:hAnsi="Inter" w:eastAsia="Inter" w:cs="Inter"/>
          <w:b w:val="0"/>
          <w:i/>
          <w:color w:val="9CA3AF"/>
          <w:sz w:val="16"/>
        </w:rPr>
        <w:t>© 2026 Cittopia · cittopia.com · Document version 0.1 (12 May 2026) · Working draft</w:t>
      </w:r>
    </w:p>
    <w:sectPr w:rsidR="00FC693F" w:rsidRPr="0006063C" w:rsidSect="00034616">
      <w:pgSz w:w="12240" w:h="15840"/>
      <w:pgMar w:top="1134"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